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ESTABLISH OR MODIFY CHILD SUPPORT</w:t>
      </w:r>
    </w:p>
    <w:p>
      <w:pPr>
        <w:spacing w:after="0" w:before="0" w:line="240"/>
        <w:jc w:val="center"/>
      </w:pPr>
      <w:r>
        <w:rPr>
          <w:rFonts w:ascii="Times New Roman" w:cs="Times New Roman" w:eastAsia="Times New Roman" w:hAnsi="Times New Roman"/>
          <w:b w:val="false"/>
          <w:bCs w:val="false"/>
          <w:sz w:val="24"/>
          <w:szCs w:val="24"/>
        </w:rPr>
        <w:t xml:space="preserve">(doc-0193)</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Bergstrom, Petitioner and primary custodial parent, respectfully moves this Court pursuant to AS 25.24.170 and Civil Rule 90.3(h) to modify the existing child support order entered in 2021. The current monthly obligation of $1,150 was calculated using income figures that no longer reflect the financial realities of either party. Since the entry of that order, Respondent Wesley Bergstrom has obtained employment as a petroleum equipment technician earning approximately $98,000 annually, an increase of nearly $37,000 from the $61,000 annual income on which the prior order was based. Simultaneously, Petitioner has incurred additional work-related childcare costs of approximately $800 per month attributable to her nursing shift schedule. These combined changes represent a material change in circumstances that presumptively triggers modification under Civil Rule 90.3(h)(1). A support award recalculated under the Alaska Child Support Guidelines using the parties' current verified incomes would result in a monthly obligation that is more than fifteen percent greater than the existing order, thereby satisfying the threshold for modification as a matter of law. Petitioner respectfully requests that this Court set aside the existing support figure and enter a new order consistent with the Guidelines.</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Ashley Bergstrom and Wesley Bergstrom, are the parents of two minor children, ages seven and ten. The children reside with Petitioner Ashley Bergstrom as primary physical custodian approximately seventy percent of the time. Respondent Wesley Bergstrom exercises parenting time with the children the remaining thirty percent of the time.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entered the most recent child support order in 2021. That order established a monthly child support obligation of $1,150 based on the financial circumstances of the parties at that time. At the time of the 2021 order, Respondent reported an annual income of approximately $61,000. Petitioner Ashley Bergstrom is employed as a registered nurse in Anchorage, Alaska, earning approximately $52,000 per year.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the entry of the 2021 order, Respondent Wesley Bergstrom has secured new employment as a petroleum equipment technician. His current annual earnings are approximately $98,000, reflecting an increase of nearly $37,000 per year over the income figure used to calculate the existing support obligation.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Petitioner has incurred substantial new childcare expenses since the 2021 order was entered. Due to her rotating nursing shift schedule, Petitioner now pays approximately $800 per month in work-related childcare costs for the parties' two children. These expenses are directly attributable to her employment and were not reflected in the prior support calculation.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combination of Respondent's significantly increased income and Petitioner's additional work-related childcare costs represents a fundamental change in the financial landscape of this case since the 2021 order was entered.</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child support order may be modified after judgment upon motion of either party where the circumstances warrant adjustment. AS 25.24.170(a) provides that "any time after judgment the court, upon the motion of either party, may set aside, alter, or modify so much of the judgment as may provide for alimony, for the appointment of trustees for the care and custody of the minor children or for their nurture and education, for the care, nurture, and education of unmarried 18-year-old children of the marriage while they are actively pursuing a high school diploma or an equivalent level of technical or vocational training and living as dependents with a parent, guardian, or designee of the parent or guardian, or for the maintenance of either party to the action."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Modification of a final child support award requires a showing of a material change in circumstances. Civil Rule 90.3(h)(1) provides that "a final child support award may be modified upon a showing of a material change of circumstances as provided by state law" and further that "a material change of circumstances will be presumed if support as calculated under this rule is more than 15 percent greater or less than the outstanding support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Child support in a primary physical custody arrangement is calculated pursuant to Civil Rule 921(a), which provides that "a child support award in a case in which one parent is awarded primary physical custody as defined by paragraph (f) will be calculated as an amount equal to the adjusted annual income of the non-custodial parent multiplied by a percentage specified in subparagraph (a)(2)." For two children, that percentage is twenty-seven percent. Civil Rule 909(a)(2)(B).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adjusted annual income calculation allows for the deduction of work-related child care expenses for the children who are the subject of the support order, as expressly provided in Civil Rule 983(a)(1)(E).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shifts in one or both parents' income constitute material changes in circumstances sufficient to support modification. Bunn v. House, 934 P.2d 753 (Alaska 1997). Moreover, Charlesworth v. State, Child Support Enforcement Division Ex Rel. Charlesworth, 779 P.2d 792 (Alaska 1989), confirms that a motion to modify child support is appropriately evaluated by applying the Civil Rule 90.3 formula to the parties' current financial circumstances to determine whether the resulting figure justifies departure from the existing order.</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RESPONDENT'S SUBSTANTIALLY INCREASED INCOME CONSTITUTES A MATERIAL CHANGE IN CIRCUMSTANCES WARRANTING UPWARD MODIFICATION OF CHILD SUPPORT.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existing support order of $1,150 per month was calculated in 2021 based on Respondent's annual income of approximately $61,000. Respondent now earns approximately $98,000 per year in his current position as a petroleum equipment technician, an increase of nearly $37,000 annually. This increase represents a change of more than sixty percent in Respondent's gross income since the last order was entered, and it constitutes precisely the kind of material change in circumstances that Alaska law recognizes as a basis for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held in Bunn v. House, 934 P.2d 753 (Alaska 1997), that changes in one or both parents' income may constitute a material change in circumstances sufficient to justify modification of a child support order. The principle is reinforced by Shanigan v. Shanigan, 386 P.3d 1238 (Alaska 2017), in which the court carefully examined the non-custodial parent's adjusted annual income to recalculate the correct child support obligation under Civil Rule 90.3(a)(2)(B), affirming that current, verified income is the appropriate basis for any support calculation.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90.3(h)(1), a material change of circumstances is presumed when support recalculated under the Guidelines is more than fifteen percent greater than the outstanding order. Respondent's adjusted annual income, calculated in accordance with Civil Rule 90.3(a)(1), must be multiplied by twenty-seven percent to arrive at the correct support figure for two children. Civil Rule 90.3(a)(2)(B). Using Respondent's current gross income of approximately $98,000, and applying standard mandatory deductions, the resulting child support figure will substantially exceed $1,150 per month, satisfying the fifteen percent threshold as a matter of law and triggering the presumption of a material change in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respectfully submits that the Court should find that Respondent's income increase alone is sufficient to require recalculation and upward modification of the existing child support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PETITIONER'S ADDITIONAL WORK-RELATED CHILDCARE EXPENSES FURTHER SUPPORT MODIFICATION AND MUST BE INCORPORATED INTO THE GUIDELINES CALCULATION.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addition to Respondent's income increase, Petitioner has incurred new and recurring work-related childcare costs of approximately $800 per month since the 2021 order was entered. These expenses are directly necessitated by Petitioner's rotating shift schedule as a registered nurse and would not be incurred but for her employment.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90.3(a)(1)(E) expressly provides that a parent's adjusted annual income is reduced by "work-related child care expenses for the children who are the subject of the child support order." The inclusion of this deduction in the Guidelines calculation serves the dual purpose of accurately reflecting the true economic burden carried by the primary custodial parent and ensuring that the child support award properly accounts for the full cost of the children's care.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Court's analysis in Bergstrom v. Lindback, 779 P.2d 1235 (Alaska 1989), underscored that a trial court must properly account for work-related childcare costs when calculating adjusted annual income under Civil Rule 90.3. Failure to incorporate these verified expenses would result in an inaccurate Guidelines calculation and would understate the financial demands placed on the custodial parent. Tillmon v. Tillmon, 189 P.3d 1022 (Alaska 2008), similarly reflects that proper application of Civil Rule 90.3 requires that actual, reasonable childcare expenses be deducted from the applicable parent's income for purposes of calculating support.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$800 per month in childcare costs, totaling $9,600 per year, constitutes a substantial recurring expense that was not contemplated by the 2021 order. Proper incorporation of this deduction will affect the adjusted annual income calculation and will produce a support award that more accurately reflects the financial circumstances of the parties and the needs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RECALCULATION OF CHILD SUPPORT UNDER CIVIL RULE 90.3 IS REQUIRED UPON A FINDING OF MATERIAL CHANGE IN CIRCUMSTANCES, AND THE RESULTING AWARD MUST REFLECT CURRENT VERIFIED INCOMES.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this Court finds a material change in circumstances, it is required to recalculate child support in accordance with the Alaska Child Support Guidelines. Civil Rule 90.3(a) establishes the mandatory framework: for a primary physical custody arrangement involving two children, the non-custodial parent's adjusted annual income is multiplied by twenty-seven percent to arrive at the correct award. Civil Rule 90.3(a)(2)(B).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in Peter Chapman v. Julia Chapman, 563 P.3d 1155 (Alaska 2025), confirmed that a modification motion presenting evidence of a significant discrepancy between a parent's current income and the income underlying the existing order satisfies the fifteen percent threshold under Civil Rule 90.3(h)(1) and requires recalculation. The Alaska Supreme Court emphasized in that case the importance of using accurate, current income information in computing the proper support obligation, including consideration of whether income should be imputed where a parent has reduced earnings through personal choices.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this case, no imputation issue arises. Both parties are fully employed and earning verifiable incomes. Respondent's current gross income of approximately $98,000 must be reduced by applicable mandatory deductions under Civil Rule 90.3(a)(1)(A) to arrive at his adjusted annual income, which is then multiplied by twenty-seven percent pursuant to Civil Rule 90.3(a)(2)(B). Petitioner's adjusted annual income of approximately $52,000, further reduced by $9,600 in annual work-related childcare costs under Civil Rule 90.3(a)(1)(E), properly frames her contribution to the children's support.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resulting calculation, using current incomes and verified expenses, will produce a monthly child support figure materially greater than the existing $1,150 obligation. The presumption under Civil Rule 90.3(h)(1) is therefore triggered, and this Court must enter a new order consistent with the Guidelines. State, Child Support Enforcement Division v. Bromley, 987 P.2d 183 (Alaska 1999), confirms that the court may vary from the Guidelines formula only upon a showing of manifest injustice supported by clear and convincing evidence, a burden that Respondent cannot satisfy here where the Guidelines figure simply reflects his documented, substantial increase in earnings.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D. MODIFICATION SHOULD BE MADE EFFECTIVE AS OF THE DATE OF SERVICE OF THIS MOTION.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90.3(h)(2) provides that a modification that becomes effective on or after the date a motion for modification is served on the opposing party is not considered a retroactive modification. Accordingly, Petitioner respectfully requests that any upward modification of child support be made effective as of the date this motion was served on Respondent. This ensures that the children benefit from the corrected support amount at the earliest permissible date and avoids any windfall to Respondent from delay in the proceedings.</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Petitioner Ashley Bergstrom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Find that Respondent Wesley Bergstrom's increase in annual income from approximately $61,000 to approximately $98,000 constitutes a material change in circumstances under Civil Rule 90.3(h)(1) and AS 25.24.170;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Find that Petitioner's additional work-related childcare costs of approximately $800 per month constitute a further material change in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Order recalculation of child support in accordance with Civil Rule 90.3(a) using the parties' current verified incomes and Petitioner's documented childcare expenses;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Enter a new child support order consistent with the Alaska Child Support Guidelines, calculated at twenty-seven percent of Respondent's adjusted annual income pursuant to Civil Rule 90.3(a)(2)(B), as adjusted by Petitioner's work-related childcare deduction under Civil Rule 90.3(a)(1)(E);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Make the modified support order effective as of the date of service of this motion pursuant to Civil Rule 90.3(h)(2).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children deserve the benefit of a support order that reflects the current financial circumstances of both parents. The existing order, calculated on income data that is now more than three years old and that fails to account for Respondent's substantially higher earnings, no longer serves the children's best interests or the purposes of the Alaska Child Support Guidelines. Petitioner respectfully urges the Court to grant this motion in full.</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2026-08-17T02:30:31.022Z</dcterms:created>
  <dcterms:modified xsi:type="dcterms:W3CDTF">2026-08-17T02:30:31.022Z</dcterms:modified>
</cp:coreProperties>
</file>

<file path=docProps/custom.xml><?xml version="1.0" encoding="utf-8"?>
<Properties xmlns="http://schemas.openxmlformats.org/officeDocument/2006/custom-properties" xmlns:vt="http://schemas.openxmlformats.org/officeDocument/2006/docPropsVTypes"/>
</file>