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(doc-0198)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Sutter respectfully moves this Court for modification of the existing child support order entered in 2021. Since that order was entered, two independent and substantial changes in circumstances have occurred. First, David suffered a significant reduction in income after losing his position as a civil engineer, and he now earns approximately $42,000 per year working as a contractor. Second, and equally significant, the parties' custodial arrangement has fundamentally shifted: the children now reside with David approximately 70 percent of the time, a figure that not only departs materially from the equal 50-50 schedule reflected in the 2021 order, but also crosses the legal threshold separating shared physical custody from primary physical custody under Alaska's child support guidelines. Concurrently, Sarah Sutter received a promotion and now earns approximately $98,000 per year as a hospital administrator in Anchorage. The current child support order no longer reflects the economic reality of either party, nor does it reflect the actual custodial arrangement under which David is raising these children. David therefore requests that the Court vacate the existing support obligation, recalculate support pursuant to Civil Rule 90.3, and enter a new order directing Sarah to pay monthly child support to David consistent with the applicable guidelines.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and Sarah Sutter are the parents of two minor children. In 2021, the Court entered a child support order premised on two factual conditions: the parties earned comparable incomes, and the children resided with each parent on an equal 50-50 shared custody basis. Those conditions no longer exist.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2021 order, David was laid off from his position as a civil engineer. He now works as a contractor earning approximately $42,000 per year, representing a significant reduction from his prior income. Sarah, by contrast, received a promotion to a hospital administrator position in Anchorage and now earns approximately $98,000 per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custodial arrangement has changed as well. Sarah's increased work travel schedule has resulted in the children residing with David approximately 70 percent of the time. David is now the primary caregiver for the parties' two minor children, bearing the substantial majority of the day-to-day expenses associated with raising them. This 70-percent residential arrangement is not reflected in the operative 2021 order, which continues to govern the parties' support obligations as though custody remained equally divided.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now earns less than half of Sarah's annual income, and he is providing primary care for the children more than two-thirds of the year. The combination of these changed circumstances renders the current support order inequitable and inconsistent with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has broad authority to modify a child support order following its entry. Under AS 25.24.900, any time after judgment the Court may, upon the motion of either party, set aside, alter, or modify the portion of a judgment providing for the maintenance of minor children. Similarly, AS 25.20.110 provides that an award of custody or visitation may be modified if the court determines that a change in circumstances requires the modification and the modification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child support specifically, modification requires a showing of a material change in circumstances. Civil Rule 90.3 governs the calculation of child support in Alaska. Under Civil Rule 90.3(a), where one parent is awarded primary physical custody, the support award is calculated as an amount equal to the adjusted annual income of the non-custodial parent multiplied by a percentage based on the number of children. Where the parents share physical custody, Civil Rule 953(b) applies a distinct calculation that accounts for both parents' incomes and the percentage of time each parent has physical custody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child support is presumed to reflect a material change in circumstances when the recalculated amount under the rule is more than 15 percent greater or less than the outstanding support order. Shanigan v. Shanigan, 386 P.3d 1238 (Alaska 2017). The Alaska Supreme Court has held that child support must be calculated based on current, actual income information, and a court may not rely on outdated income figures when a party has demonstrated a genuine reduction in earnings. Yerrington v. Yerrington, 933 P.2d 555 (Alaska 1997). Courts applying Civil Rule 90.3 focus on the children's needs and the parties' present financial circumstances, not those that existed at the time of the original order. Flannery v. Flannery, 950 P.2d 126 (Alaska 1997).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Warranting Modification of the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David's motion satisfies the threshold requirement for modification of child support under Alaska law. Two independent and significant changes in circumstances have occurred since the 2021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David's income has decreased substantially. He was laid off from his civil engineering position and now earns approximately $42,000 per year as a contractor. This reduction is neither temporary nor voluntary. The Alaska Supreme Court has made clear that a genuine, substantial decline in a party's income constitutes a material change in circumstances warranting recalculation of child support. Yerrington v. Yerrington, 933 P.2d 555 (Alaska 1997). At the same time, Sarah's income has increased to approximately $98,000 per year following her promotion. The combined effect of these income changes means that the parties' economic positions are now markedly different from what they were when the 2021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physical custody arrangement has changed in a legally significant way. The 2021 order was premised on a 50-50 shared custody schedule. The children now reside with David approximately 70 percent of the time due to Sarah's increased work travel. Under Civil Rule 90.3(f), a parent who has the children for more than 70 percent of the year has primary physical custody, while shared physical custody exists when a parent has the children between 30 and 70 percent of the year. The shift from a 50-50 schedule to a 70-percent arrangement in David's favor represents a dramatic departure from the conditions underlying the existing order, and it directly affects which subsection of Civil Rule 90.3 governs the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individually, either of these changes would support a finding of material change in circumstances. Taken together, they compel it. The existing support order was calibrated to a factual picture that no longer exists. Because recalculation under Civil Rule 90.3 based on the parties' current incomes and the current custody arrangement will produce a support figure more than 15 percent different from the outstanding order, the material change in circumstances threshold is presumptively satisfied. Shanigan v. Shanigan, 386 P.3d 1238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Must Be Recalculated Under Civil Rule 90.3 to Reflect the Current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question governing the applicable calculation method is whether the current custody arrangement qualifies as primary or shared physical custody under Civil Rule 90.3(f). When David has the children 70 percent of the time, the children reside primarily with him, and the arrangement functions as primary physical custody in David's favor for purposes of the guidelines. This matters because Civil Rule 90.3(a) and Civil Rule 90.3(b) employ different formulas, and the distinction between primary and shared custody has a direct and significant effect on the calculated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where one parent has primary physical custody, the support award equals the non-custodial parent's adjusted annual income multiplied by the applicable percentage. For two children, that percentage is 27 percent. Civil Rule 90.3(a)(2). Applying that formula to Sarah's income of approximately $98,000 per year, after the mandatory and permissible deductions outlined in Civil Rule 90.3(a)(1), the resulting support obligation would represent a substantial monthly payment from Sarah to David.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Even if the Court were to treat the current arrangement as shared physical custody under Civil Rule 90.3(b)(1), because the children reside with David at or near the 70-percent threshold, the shared custody calculation would still result in Sarah owing support to David. The shared custody formula under Civil Rule 90.3(b)(1) calculates what each parent would owe the other assuming the other had primary custody, multiplies that figure by the percentage of time the other parent has the children, and then determines the net obligation by subtracting the smaller figure from the larger and multiplying by 1.5. Given the significant disparity between the parties' incomes and the significant disparity in the time each parent spends with the children, the result under either formula directs a support payment from Sarah to David.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the custodial label assigned in an earlier order does not foreclose modification when the actual residential arrangement has materially changed. Holmes v. Holmes, 414 P.3d 662 (Alaska 2018). The operative custody schedule, not the schedule reflected in an outdated order, governs which formula applies for purposes of a modification proceeding. Charlesworth v. State, Child Support Enforcement Division Ex Rel. Charlesworth, 779 P.2d 792 (Alaska 1989). David therefore requests that the Court apply the formula that corresponds to the children's actual living arrangement as of the date of this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Calculate David's Adjusted Annual Income Using His Actual Current Earnings and Should Not Impute Additional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less certain mandatory and permissible deductions. David currently earns approximately $42,000 per year as a contractor. This income reflects genuine market conditions following his layoff, not a voluntary or unreasonable choice to earn less than he is capable of earning.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90.3(a)(4) permits a court to impute potential income to a parent who is voluntarily and unreasonably unemployed or underemployed. However, that provision does not apply here. David's income reduction was involuntary, resulting from a layoff outside his control. He is actively employed as a contractor, earning income commensurate with available work in his field. The Alaska Supreme Court has cautioned that courts should not penalize a parent for an income reduction that is genuine and not a product of deliberate self-impoverishment. Flannery v. Flannery, 950 P.2d 126 (Alaska 1997). The totality of circumstances, including David's employment history, his field, and the circumstances of his layoff, does not support a finding that he is voluntarily and unreasonably underemployed. The Court should therefore calculate David's adjusted annual income using his actual earnings of approximately $42,000 per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May, if Appropriate, Consider Potential Income Attribution with Respect to Sarah's Available Earning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currently earns approximately $98,000 per year. Her income is the primary driver of the support obligation in this matter. Civil Rule 90.3(a)(1) requires that Sarah's adjusted annual income be calculated by subtracting from her gross earnings the mandatory deductions enumerated in Civil Rule 90.3(a)(1)(A), including applicable taxes, Social Security contributions, and Medicare tax. Any permissible voluntary deductions, such as retirement contributions not exceeding the cap set forth in Civil Rule 90.3(a)(1)(B), would also reduce her adjusted income. David requests that the Court require Sarah to submit a current Child Support Guidelines Affidavit reflecting her actual earnings, deductions, and benefits.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Sarah seeks to minimize her reported income through deductions or other means, the Court retains authority under Civil Rule 90.3(a)(4) to evaluate whether income should be imputed. The Alaska Supreme Court has held that courts should take a realistic view of a party's earning capacity and actual income in calculating support obligations. Peter Chapman v. Julia Chapman, 563 P.3d 1155 (Alaska 2025). David reserves the right to challenge any claims of deductions or reduced income that are not supported by adequate documentation.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Existing Support Order No Longer Reflects the Children's Best Interests and Should Be Modified.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calculations under Civil Rule 90.3 are grounded in the fundamental principle that children are entitled to share in the financial resources of both parents. The guidelines exist to ensure that support awards are proportional to parents' incomes and reflective of the actual custodial arrangement. Ronny M. v. Nanette H., 303 P.3d 392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existing 2021 order was calculated on the premise of roughly equal incomes and equal parenting time. Neither of those premises remains accurate. David is now raising the children the substantial majority of the time, absorbing the lion's share of their daily living expenses, while earning less than half of Sarah's salary. Maintaining the current order under these circumstances would produce a result that is neither consistent with the guidelines nor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recognizes that the children's well-being is best served by a support award that accurately reflects the parents' present circumstances. Kelly v. Joseph, 46 P.3d 1014 (Alaska 2002). Because both the income disparity and the custodial shift are real, substantial, and documented, the Court should enter a modified support order directing Sarah to pay monthly child support to David in an amount calculated under Civil Rule 90.3 based on current incomes and the current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Income Withholding Should Be Ordered Upon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entry of a modified support order, the Court should also enter an income withholding order pursuant to AS 25.27.914. Under AS 25.27.062(a), a judgment, court order, or agency order providing for support must contain an income withholding order. Immediate income withholding is required unless one of the specific exceptions enumerated in AS 25.27.062(m) applies. No such exception is anticipated here. An income withholding order directed to Sarah's employer would ensure consistent and timely payment of any support obligation the Court may enter, protecting both the children and David from the disruption of irregular or missed payments.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Sutter respectfully requests that this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Finding that a material change in circumstances has occurred since entry of the 2021 child support order, based on the significant reduction in David's income, the significant increase in Sarah's income, and the material shift in the parties' custodial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Calculating a modified child support obligation under Civil Rule 90.3, reflecting David's primary custody of the children approximately 70 percent of the time, David's adjusted annual income of approximately $42,000, and Sarah's adjusted annual income of approximately $98,000;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Directing Sarah to pay monthly child support to David consistent with the applicable guidelines for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Entering an income withholding order pursuant to AS 25.27.062 to ensure timely payment of the modified support obligation;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Granting such other and further relief as the Court deems just and proper.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2026-08-17T02:36:23.991Z</dcterms:created>
  <dcterms:modified xsi:type="dcterms:W3CDTF">2026-08-17T02:36:23.991Z</dcterms:modified>
</cp:coreProperties>
</file>

<file path=docProps/custom.xml><?xml version="1.0" encoding="utf-8"?>
<Properties xmlns="http://schemas.openxmlformats.org/officeDocument/2006/custom-properties" xmlns:vt="http://schemas.openxmlformats.org/officeDocument/2006/docPropsVTypes"/>
</file>