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(doc-0200)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 Whitfield respectfully petitions this Court for an upward modification of the existing child support order entered in 2021. Two independent and substantial changes in circumstances have occurred since that order was entered. First, the non-custodial parent, Renee Whitfield, has experienced a significant increase in annual income, rising from $52,000 to $84,000. Second, the physical custody arrangement has fundamentally changed: the children are no longer in shared 50/50 custody but instead reside primarily with Sarah, with Renee exercising custody only on alternating weekends and one weeknight per week. Under Alaska law and the Alaska Civil Rules governing child support calculations, both of these changes independently and collectively require recalculation of the child support obligation. The current order of $850 per month no longer reflects the financial realities of either parent or the day-to-day needs of the children in Sarah's household. Sarah respectfully requests that this Court modify the existing order and set a new monthly child support obligation in the amount of approximately $1,450 per month.</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Sarah Whitfield and Respondent Renee Whitfield were divorced in 2021. At the time of the divorce decree, the court entered a child support order requiring Renee to pay $850 per month. That figure was based on Renee's annual income of $52,000 and the parties' shared 50/50 physical custody arrangement of their two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entry of the original order, material changes have occurred in both the income of the parties and the custody arrangement. Renee has accepted a new position that pays $84,000 annually, representing an increase of $32,000 per year, or more than 61 percent over her income at the time of the original order. Sarah remains employed part-time, earning approximately $24,000 per year. The income gap between the parties has widened substantially since the 2021 order was entered.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to the change in income, the physical custody arrangement has shifted dramatically. Following the children's enrollment in school within Sarah's district, Sarah has become the primary residential parent. Renee now exercises custody on alternating weekends and one weeknight per week. This schedule no longer constitutes shared physical custody under the Alaska Civil Rules; rather, it reflects a primary physical custody arrangement in favor of Sarah. The children reside with Sarah the substantial majority of the time, and the day-to-day financial demands of raising the children fall primarily upon her.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current order of $850 per month was calculated using the shared custody formula applicable at the time. That formula is no longer appropriate given that the custody schedule no longer qualifies as shared physical custody. Neither the income figures nor the custody arrangement underlying the original order remain accurate.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child support order may be modified upon a showing that a material change in circumstances has occurred since the last order was entered, and that modification serves the best interests of the children. AS 25.24.976 permits the court, upon motion of either party, to set aside, alter, or modify a prior judgment relating to child support. AS 25.24.170(b) provides that a significant change in circumstances justifies modification, and that the adoption or amendment of guidelines may also constitute a basis for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modification of custody affecting the day-to-day residential arrangement of the children is likewise subject to the standards set forth in AS 25.20.110(a), which provides that an award of custody or visitation may be modified when a change in circumstances so requires and modification is in the best interests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calculations in Alaska are governed by Civil Rule 90.3. When one parent holds primary physical custody, Civil Rule 989(a) requires that the support obligation be calculated as an amount equal to the adjusted annual income of the non-custodial parent multiplied by a specified percentage based on the number of children. For two children, that percentage is 27 percent under Civil Rule 997(a)(2). When parents share physical custody, Civil Rule 90.3(b)(1) sets forth a different formula that accounts for the incomes of both parents and the percentage of time each parent exercises physical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a recalculation of child support is presumptively warranted when support as calculated under the current circumstances differs from the outstanding order by more than 15 percent. Shanigan v. Shanigan, 386 P.3d 1238 (Alaska 2017). The court in Peter Chapman v. Julia Chapman, 563 P.3d 1155 (Alaska 2025), further confirmed that a material change in a parent's income, when it results in a child support figure more than 15 percent different from the existing order, constitutes a change of circumstances supporting modification. The court may also calculate child support based on potential income where a parent is voluntarily underemployed. Civil Rule 90.3(a)(4).</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THE CHANGE IN CUSTODY ARRANGEMENT FROM SHARED TO PRIMARY PHYSICAL CUSTODY CONSTITUTES A MATERIAL CHANGE IN CIRCUMSTANCES REQUIRING MODIFICATION OF THE CHILD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original 2021 child support order was calculated under Civil Rule 90.3(b)(1), which applies to shared physical custody arrangements. A parent has shared physical custody when the children reside with that parent for a period specified in writing in the custody order of at least 30 but no more than 70 percent of the year. Holmes v. Holmes, 414 P.3d 662 (Alaska 2018). The current custody schedule, under which Renee exercises custody only on alternating weekends and one weeknight per week, falls well below the 30 percent threshold required to qualify as shared physical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Renee's alternating weekend schedule and one weeknight per week translates to approximately four to six overnights per month. Over the course of a year, Renee has physical custody of the children for well under 30 percent of the year. Under Civil Rule 90.3(f), this schedule does not constitute shared physical custody. Accordingly, the shared custody formula that formed the basis for the 2021 order is no longer applicable. The custody arrangement now calls for application of the primary physical custody formula under Civil Rule 90.3(a), which calculates support based solely on the non-custodial parent's adjusted annual income multiplied by the applicable percentage.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shift from a shared custody framework to a primary custody framework is itself a material change in circumstances. It changes the very formula by which child support is calculated and, as a result, substantially alters the amount of support owed. The children now reside primarily with Sarah, and the attendant daily financial burdens, including food, clothing, school supplies, extracurricular activities, and routine care, fall upon her household. The existing order does not account for this fundamental restructuring of the parties' caregiving responsibilities. Modification is both legally required and equitable under these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SUBSTANTIAL INCREASE IN RENEE'S INCOME INDEPENDENTLY SUPPORTS AN UPWARD MODIFICATION OF CHILD SUPPORT.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Renee's annual income has increased from $52,000 at the time of the original order to $84,000 currently. This represents an increase of $32,000 per year, or more than 61 percent. Under the framework established by Alaska case law, a change in child support that would result from recalculation under Civil Rule 90.3 that differs by more than 15 percent from the outstanding order constitutes a presumptive material change in circumstances. Shanigan v. Shanigan, 386 P.3d 1238 (Alaska 2017); Peter Chapman v. Julia Chapman, 563 P.3d 1155 (Alaska 2025).</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90.3(a)(1), adjusted annual income is calculated by subtracting from total income mandatory deductions such as federal, state, and local income taxes, Social Security tax, Medicare tax, mandatory union dues, and mandatory retirement contributions, as well as certain voluntary retirement contributions and other permissible deductions. Applying these deductions to Renee's gross annual income of $84,000 will yield an adjusted annual income that is substantially higher than that used to compute the 2021 order. For two children, the applicable percentage under Civil Rule 90.3(a)(2) is 27 percent. Even using conservative estimates of Renee's deductions, her adjusted annual income would produce a monthly support obligation significantly in excess of the current $850 per month, and well above the 15 percent threshold that triggers a presumption of a material change in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held that courts must apply Civil Rule 90.3 faithfully to ensure that child support obligations accurately reflect a parent's financial capacity. Ronny M. v. Nanette H., 303 P.3d 392 (Alaska 2013). Where, as here, the non-custodial parent's income has risen substantially and the custody arrangement has simultaneously shifted so that the primary custody formula now applies, the resulting support figure will far exceed the existing order. Continued enforcement of the outdated order would result in manifest inequity to the children and to Sarah as the primary custodial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COMBINED EFFECT OF BOTH CHANGES WARRANTS A RECALCULATED AWARD OF APPROXIMATELY $1,450 PER MONTH.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dual changes present here, namely the shift from shared to primary physical custody and the increase in Renee's income, interact to produce a substantially higher support obligation under Civil Rule 90.3(a). The primary custody formula applies Renee's adjusted annual income at 27 percent for two children. Civil Rule 90.3(a)(2). At a gross annual income of $84,000, Renee's adjusted annual income, after permissible deductions, is expected to fall in the range that supports a monthly obligation of approximately $1,450. This figure reflects the proper application of the guidelines formula to the current facts and is not a deviation from the guidelines.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has discretion to vary a child support award for good cause upon proof by clear and convincing evidence that strict application of the guidelines would result in manifest injustice. Ronny M. v. Nanette H., 303 P.3d 392 (Alaska 2013). However, no such variance is being sought here. Sarah requests only that the court apply the existing guidelines correctly to the current income and custody circumstances. The requested amount of approximately $1,450 per month is consistent with a faithful application of Civil Rule 90.3(a).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Sarah's annual income of approximately $24,000 demonstrates the significant financial disparity between the parents. The children's primary residence is in Sarah's home, where the majority of their daily expenses are incurred. A support order that was calculated using Renee's lower 2021 income and a shared custody arrangement that no longer exists fails to meet the children's current needs and fails to reflect Renee's substantially enhanced financial capacity. Bunn v. House, 934 P.2d 753 (Alaska 1997), recognizes that a recalculated support figure that departs materially from a prior order is itself indicative of a material change in circumstances warranting modification.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MODIFICATION IS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requires not only that a material change in circumstances be established, but also that the proposed modification serve the best interests of the children. AS 25.20.110(a). The requested modification satisfies this standard. The children reside with Sarah the substantial majority of the time. Their daily needs, including housing, meals, education-related expenses, and healthcare, are managed and funded by Sarah on an income of approximately $24,000 per year. Renee, by contrast, earns $84,000 annually and has comparatively limited day-to-day child-rearing expenses given her limited custody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 upward modification to $1,450 per month will ensure that the financial responsibility for the children's care is distributed in a manner that reflects the actual custodial roles and financial capacities of the parents. It will reduce the financial strain on Sarah's household and provide the children with greater stability and resources in their primary home. The modification is squarely in the best interests of the children, as required by AS 25.20.110(a).</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THE EXISTING INCOME WITHHOLDING ORDER SHOULD BE MODIFIED TO REFLECT THE NEW SUPPORT AMOUNT.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Any modification of child support must be accompanied by a corresponding income withholding order. AS 25.27.062(a) provides that a court order providing for support must contain an income withholding order. Upon modification of the child support obligation, this Court should simultaneously modify the income withholding order to reflect the new monthly obligation of approximately $1,450. This will ensure consistent and reliable support payments and protect the financial interests of the children going forward.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Sarah Whitfield respectfully requests that this Court find that a material change in circumstances has occurred based on both the shift from shared to primary physical custody and the substantial increase in Renee Whitfield's annual income. Sarah further requests that the Court recalculate the child support obligation under Civil Rule 90.3(a), applying the primary custody formula to Renee's current adjusted annual income, and enter a modified child support order in the amount of approximately $1,450 per month. Finally, Sarah requests that the Court modify the existing income withholding order to reflect the updated obligation pursuant to AS 25.27.062(a).</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2026-08-17T02:38:43.628Z</dcterms:created>
  <dcterms:modified xsi:type="dcterms:W3CDTF">2026-08-17T02:38:43.628Z</dcterms:modified>
</cp:coreProperties>
</file>

<file path=docProps/custom.xml><?xml version="1.0" encoding="utf-8"?>
<Properties xmlns="http://schemas.openxmlformats.org/officeDocument/2006/custom-properties" xmlns:vt="http://schemas.openxmlformats.org/officeDocument/2006/docPropsVTypes"/>
</file>