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360"/>
        <w:jc w:val="center"/>
      </w:pPr>
      <w:r>
        <w:rPr>
          <w:b/>
          <w:bCs/>
          <w:color w:val="173B70"/>
          <w:sz w:val="42"/>
          <w:szCs w:val="42"/>
        </w:rPr>
        <w:t xml:space="preserve">Undergraduate Laboratory Safety Handbook</w:t>
      </w:r>
    </w:p>
    <w:p>
      <w:pPr>
        <w:spacing w:after="720"/>
        <w:jc w:val="center"/>
      </w:pPr>
      <w:r>
        <w:rPr>
          <w:b/>
          <w:bCs/>
          <w:color w:val="426A9F"/>
          <w:sz w:val="28"/>
          <w:szCs w:val="28"/>
        </w:rPr>
        <w:t xml:space="preserve">Teaching and Research Laboratories</w:t>
      </w:r>
    </w:p>
    <w:p>
      <w:pPr>
        <w:spacing w:after="180"/>
        <w:jc w:val="center"/>
      </w:pPr>
      <w:r>
        <w:rPr>
          <w:sz w:val="24"/>
          <w:szCs w:val="24"/>
        </w:rPr>
        <w:t xml:space="preserve">Environmental Health and Laboratory Safety</w:t>
      </w:r>
    </w:p>
    <w:p>
      <w:pPr>
        <w:spacing w:after="180"/>
        <w:jc w:val="center"/>
      </w:pPr>
      <w:r>
        <w:rPr>
          <w:sz w:val="24"/>
          <w:szCs w:val="24"/>
        </w:rPr>
        <w:t xml:space="preserve">Effective July 1, 2026</w:t>
      </w:r>
    </w:p>
    <w:p>
      <w:pPr>
        <w:spacing w:after="600"/>
        <w:jc w:val="center"/>
      </w:pPr>
      <w:r>
        <w:rPr>
          <w:b/>
          <w:bCs/>
          <w:color w:val="173B70"/>
          <w:sz w:val="24"/>
          <w:szCs w:val="24"/>
        </w:rPr>
        <w:t xml:space="preserve">CURRENT</w:t>
      </w:r>
    </w:p>
    <w:p>
      <w:pPr>
        <w:pBdr>
          <w:top w:val="single" w:color="7895BD" w:sz="8" w:space="8"/>
        </w:pBdr>
        <w:spacing w:before="600" w:after="240"/>
        <w:jc w:val="center"/>
      </w:pPr>
      <w:r>
        <w:rPr>
          <w:b/>
          <w:bCs/>
        </w:rPr>
        <w:t xml:space="preserve">Document ID: NSU-LAB-2026</w:t>
      </w:r>
    </w:p>
    <w:p>
      <w:pPr>
        <w:jc w:val="center"/>
      </w:pPr>
      <w:r>
        <w:rPr>
          <w:i/>
          <w:iCs/>
          <w:color w:val="555555"/>
        </w:rPr>
        <w:t xml:space="preserve">Fictional educational corpus. All names, contacts, programs, and rules are synthetic.</w:t>
      </w:r>
    </w:p>
    <w:p>
      <w:r>
        <w:br w:type="page"/>
      </w:r>
    </w:p>
    <w:p>
      <w:pPr>
        <w:pStyle w:val="Heading1"/>
      </w:pPr>
      <w:r>
        <w:t xml:space="preserve">1. Training and Access</w:t>
      </w:r>
    </w:p>
    <w:p>
      <w:pPr>
        <w:spacing w:after="180" w:line="300"/>
      </w:pPr>
      <w:r>
        <w:t xml:space="preserve">Students must complete the online General Laboratory Safety course and the laboratory-specific orientation before beginning work. Training expires after twelve months and must be renewed annually.</w:t>
      </w:r>
    </w:p>
    <w:p>
      <w:pPr>
        <w:spacing w:after="180" w:line="300"/>
      </w:pPr>
      <w:r>
        <w:t xml:space="preserve">After-hours access, defined as before 7:00 a.m., after 10:00 p.m., or any time on a University holiday, requires written faculty approval. Undergraduates may not work alone after hours with hazardous chemicals, open flames, compressed gases, or energized high-voltage equipment.</w:t>
      </w:r>
    </w:p>
    <w:p>
      <w:pPr>
        <w:spacing w:after="180" w:line="300"/>
      </w:pPr>
      <w:r>
        <w:t xml:space="preserve">Access cards are personal and may not be shared. A lost card must be reported immediately to Campus Safety.</w:t>
      </w:r>
    </w:p>
    <w:p>
      <w:pPr>
        <w:pStyle w:val="ListParagraph"/>
        <w:numPr>
          <w:ilvl w:val="0"/>
          <w:numId w:val="2"/>
        </w:numPr>
        <w:spacing w:after="100"/>
      </w:pPr>
      <w:r>
        <w:t xml:space="preserve">General and laboratory-specific training required.</w:t>
      </w:r>
    </w:p>
    <w:p>
      <w:pPr>
        <w:pStyle w:val="ListParagraph"/>
        <w:numPr>
          <w:ilvl w:val="0"/>
          <w:numId w:val="2"/>
        </w:numPr>
        <w:spacing w:after="100"/>
      </w:pPr>
      <w:r>
        <w:t xml:space="preserve">Training renewal: every 12 months.</w:t>
      </w:r>
    </w:p>
    <w:p>
      <w:pPr>
        <w:pStyle w:val="ListParagraph"/>
        <w:numPr>
          <w:ilvl w:val="0"/>
          <w:numId w:val="2"/>
        </w:numPr>
        <w:spacing w:after="100"/>
      </w:pPr>
      <w:r>
        <w:t xml:space="preserve">Hazardous after-hours work requires another authorized person present.</w:t>
      </w:r>
    </w:p>
    <w:p>
      <w:pPr>
        <w:pBdr>
          <w:top w:val="single" w:color="B8C4D8" w:sz="4" w:space="6"/>
        </w:pBdr>
        <w:spacing w:before="300"/>
      </w:pPr>
      <w:r>
        <w:rPr>
          <w:i/>
          <w:iCs/>
          <w:color w:val="666666"/>
          <w:sz w:val="18"/>
          <w:szCs w:val="18"/>
        </w:rPr>
        <w:t xml:space="preserve">Reference: NSU-LAB-2026 | CURRENT</w:t>
      </w:r>
    </w:p>
    <w:p>
      <w:pPr>
        <w:pStyle w:val="Heading1"/>
        <w:pageBreakBefore/>
      </w:pPr>
      <w:r>
        <w:t xml:space="preserve">2. Personal Protective Equipment</w:t>
      </w:r>
    </w:p>
    <w:p>
      <w:pPr>
        <w:spacing w:after="180" w:line="300"/>
      </w:pPr>
      <w:r>
        <w:t xml:space="preserve">Splash goggles, a laboratory coat, full-length leg covering, and closed-toe shoes are required when handling corrosive, toxic, reactive, or biological materials. Safety glasses alone are insufficient for splash hazards.</w:t>
      </w:r>
    </w:p>
    <w:p>
      <w:pPr>
        <w:spacing w:after="180" w:line="300"/>
      </w:pPr>
      <w:r>
        <w:t xml:space="preserve">Gloves must be selected for the material and removed before touching door handles, phones, or shared computers. Contaminated protective equipment must not be worn in public hallways or dining areas.</w:t>
      </w:r>
    </w:p>
    <w:p>
      <w:pPr>
        <w:spacing w:after="180" w:line="300"/>
      </w:pPr>
      <w:r>
        <w:t xml:space="preserve">Students unable to use standard protective equipment should contact Accessibility Services and the safety officer before work begins so an effective alternative can be assessed.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C4D8" w:sz="1"/>
              <w:left w:val="single" w:color="B8C4D8" w:sz="1"/>
              <w:bottom w:val="single" w:color="B8C4D8" w:sz="1"/>
              <w:right w:val="single" w:color="B8C4D8" w:sz="1"/>
            </w:tcBorders>
            <w:shd w:fill="E1E8F4" w:val="clear"/>
            <w:tcMar>
              <w:top w:type="dxa" w:w="90"/>
              <w:left w:type="dxa" w:w="120"/>
              <w:bottom w:type="dxa" w:w="90"/>
              <w:right w:type="dxa" w:w="120"/>
            </w:tcMar>
          </w:tcPr>
          <w:p>
            <w:r>
              <w:rPr>
                <w:b/>
                <w:bCs/>
              </w:rPr>
              <w:t xml:space="preserve">Hazard</w:t>
            </w:r>
          </w:p>
        </w:tc>
        <w:tc>
          <w:tcPr>
            <w:tcW w:type="dxa" w:w="5760"/>
            <w:tcBorders>
              <w:top w:val="single" w:color="B8C4D8" w:sz="1"/>
              <w:left w:val="single" w:color="B8C4D8" w:sz="1"/>
              <w:bottom w:val="single" w:color="B8C4D8" w:sz="1"/>
              <w:right w:val="single" w:color="B8C4D8" w:sz="1"/>
            </w:tcBorders>
            <w:shd w:fill="E1E8F4" w:val="clear"/>
            <w:tcMar>
              <w:top w:type="dxa" w:w="90"/>
              <w:left w:type="dxa" w:w="120"/>
              <w:bottom w:type="dxa" w:w="90"/>
              <w:right w:type="dxa" w:w="120"/>
            </w:tcMar>
          </w:tcPr>
          <w:p>
            <w:r>
              <w:rPr>
                <w:b/>
                <w:bCs/>
              </w:rPr>
              <w:t xml:space="preserve">Minimum protection</w:t>
            </w:r>
          </w:p>
        </w:tc>
      </w:tr>
      <w:tr>
        <w:trPr>
          <w:tblHeader w:val="false"/>
        </w:trPr>
        <w:tc>
          <w:tcPr>
            <w:tcW w:type="dxa" w:w="360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Chemical splash</w:t>
            </w:r>
          </w:p>
        </w:tc>
        <w:tc>
          <w:tcPr>
            <w:tcW w:type="dxa" w:w="576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Splash goggles, coat, compatible gloves</w:t>
            </w:r>
          </w:p>
        </w:tc>
      </w:tr>
      <w:tr>
        <w:trPr>
          <w:tblHeader w:val="false"/>
        </w:trPr>
        <w:tc>
          <w:tcPr>
            <w:tcW w:type="dxa" w:w="360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Routine non-splash work</w:t>
            </w:r>
          </w:p>
        </w:tc>
        <w:tc>
          <w:tcPr>
            <w:tcW w:type="dxa" w:w="576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Safety glasses as directed</w:t>
            </w:r>
          </w:p>
        </w:tc>
      </w:tr>
      <w:tr>
        <w:trPr>
          <w:tblHeader w:val="false"/>
        </w:trPr>
        <w:tc>
          <w:tcPr>
            <w:tcW w:type="dxa" w:w="360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Cryogenic liquid</w:t>
            </w:r>
          </w:p>
        </w:tc>
        <w:tc>
          <w:tcPr>
            <w:tcW w:type="dxa" w:w="576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Goggles, face shield, cryogenic gloves</w:t>
            </w:r>
          </w:p>
        </w:tc>
      </w:tr>
    </w:tbl>
    <w:p/>
    <w:p>
      <w:pPr>
        <w:pBdr>
          <w:top w:val="single" w:color="B8C4D8" w:sz="4" w:space="6"/>
        </w:pBdr>
        <w:spacing w:before="300"/>
      </w:pPr>
      <w:r>
        <w:rPr>
          <w:i/>
          <w:iCs/>
          <w:color w:val="666666"/>
          <w:sz w:val="18"/>
          <w:szCs w:val="18"/>
        </w:rPr>
        <w:t xml:space="preserve">Reference: NSU-LAB-2026 | CURRENT</w:t>
      </w:r>
    </w:p>
    <w:p>
      <w:pPr>
        <w:pStyle w:val="Heading1"/>
        <w:pageBreakBefore/>
      </w:pPr>
      <w:r>
        <w:t xml:space="preserve">3. Incidents, Spills, and Waste</w:t>
      </w:r>
    </w:p>
    <w:p>
      <w:pPr>
        <w:spacing w:after="180" w:line="300"/>
      </w:pPr>
      <w:r>
        <w:t xml:space="preserve">For fire, serious injury, uncontrolled release, or immediate danger, call 911 and Campus Safety at 555-2111, activate the alarm when appropriate, and evacuate. Do not attempt cleanup without training.</w:t>
      </w:r>
    </w:p>
    <w:p>
      <w:pPr>
        <w:spacing w:after="180" w:line="300"/>
      </w:pPr>
      <w:r>
        <w:t xml:space="preserve">All injuries and exposures, including minor cuts and near misses, must be reported to the supervisor before leaving the laboratory. A written incident report is due within 24 hours.</w:t>
      </w:r>
    </w:p>
    <w:p>
      <w:pPr>
        <w:spacing w:after="180" w:line="300"/>
      </w:pPr>
      <w:r>
        <w:t xml:space="preserve">Chemical, biological, sharps, and broken-glass waste use separate labeled containers. Nothing from a laboratory may be placed in ordinary recycling or residential electronic-waste programs.</w:t>
      </w:r>
    </w:p>
    <w:p>
      <w:pPr>
        <w:pStyle w:val="ListParagraph"/>
        <w:numPr>
          <w:ilvl w:val="0"/>
          <w:numId w:val="2"/>
        </w:numPr>
        <w:spacing w:after="100"/>
      </w:pPr>
      <w:r>
        <w:t xml:space="preserve">Emergency: 911 and 555-2111.</w:t>
      </w:r>
    </w:p>
    <w:p>
      <w:pPr>
        <w:pStyle w:val="ListParagraph"/>
        <w:numPr>
          <w:ilvl w:val="0"/>
          <w:numId w:val="2"/>
        </w:numPr>
        <w:spacing w:after="100"/>
      </w:pPr>
      <w:r>
        <w:t xml:space="preserve">Written incident report: within 24 hours.</w:t>
      </w:r>
    </w:p>
    <w:p>
      <w:pPr>
        <w:pStyle w:val="ListParagraph"/>
        <w:numPr>
          <w:ilvl w:val="0"/>
          <w:numId w:val="2"/>
        </w:numPr>
        <w:spacing w:after="100"/>
      </w:pPr>
      <w:r>
        <w:t xml:space="preserve">Do not mix regulated waste streams.</w:t>
      </w:r>
    </w:p>
    <w:p>
      <w:pPr>
        <w:pBdr>
          <w:top w:val="single" w:color="B8C4D8" w:sz="4" w:space="6"/>
        </w:pBdr>
        <w:spacing w:before="300"/>
      </w:pPr>
      <w:r>
        <w:rPr>
          <w:i/>
          <w:iCs/>
          <w:color w:val="666666"/>
          <w:sz w:val="18"/>
          <w:szCs w:val="18"/>
        </w:rPr>
        <w:t xml:space="preserve">Reference: NSU-LAB-2026 | CURRENT</w:t>
      </w:r>
    </w:p>
    <w:p>
      <w:pPr>
        <w:pStyle w:val="Heading1"/>
        <w:pageBreakBefore/>
      </w:pPr>
      <w:r>
        <w:t xml:space="preserve">4. Attendance, Enforcement, and Contacts</w:t>
      </w:r>
    </w:p>
    <w:p>
      <w:pPr>
        <w:spacing w:after="180" w:line="300"/>
      </w:pPr>
      <w:r>
        <w:t xml:space="preserve">Missing a laboratory session follows the Attendance and Course Participation Policy, but an approved absence does not waive competency or safety requirements. A make-up may be offered only when staffing, equipment, and safety permit.</w:t>
      </w:r>
    </w:p>
    <w:p>
      <w:pPr>
        <w:spacing w:after="180" w:line="300"/>
      </w:pPr>
      <w:r>
        <w:t xml:space="preserve">A person violating safety rules may be removed immediately. Reentry may require retraining, faculty approval, and review by Environmental Health and Laboratory Safety. Deliberate falsification of safety records may be referred under the Academic Integrity Policy.</w:t>
      </w:r>
    </w:p>
    <w:p>
      <w:pPr>
        <w:spacing w:after="180" w:line="300"/>
      </w:pPr>
      <w:r>
        <w:t xml:space="preserve">Non-emergency questions go to labsafety@northstar.example or 555-2160.</w:t>
      </w:r>
    </w:p>
    <w:p>
      <w:pPr>
        <w:pStyle w:val="ListParagraph"/>
        <w:numPr>
          <w:ilvl w:val="0"/>
          <w:numId w:val="2"/>
        </w:numPr>
        <w:spacing w:after="100"/>
      </w:pPr>
      <w:r>
        <w:t xml:space="preserve">Safety competency cannot be waived.</w:t>
      </w:r>
    </w:p>
    <w:p>
      <w:pPr>
        <w:pStyle w:val="ListParagraph"/>
        <w:numPr>
          <w:ilvl w:val="0"/>
          <w:numId w:val="2"/>
        </w:numPr>
        <w:spacing w:after="100"/>
      </w:pPr>
      <w:r>
        <w:t xml:space="preserve">Immediate removal is permitted for unsafe conduct.</w:t>
      </w:r>
    </w:p>
    <w:p>
      <w:pPr>
        <w:pStyle w:val="ListParagraph"/>
        <w:numPr>
          <w:ilvl w:val="0"/>
          <w:numId w:val="2"/>
        </w:numPr>
        <w:spacing w:after="100"/>
      </w:pPr>
      <w:r>
        <w:t xml:space="preserve">Record falsification may become an integrity case.</w:t>
      </w:r>
    </w:p>
    <w:p>
      <w:pPr>
        <w:pBdr>
          <w:top w:val="single" w:color="B8C4D8" w:sz="4" w:space="6"/>
        </w:pBdr>
        <w:spacing w:before="300"/>
      </w:pPr>
      <w:r>
        <w:rPr>
          <w:i/>
          <w:iCs/>
          <w:color w:val="666666"/>
          <w:sz w:val="18"/>
          <w:szCs w:val="18"/>
        </w:rPr>
        <w:t xml:space="preserve">Reference: NSU-LAB-2026 | CURRENT</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NSU-LAB-2026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895BD" w:sz="5" w:space="4"/>
      </w:pBdr>
    </w:pPr>
    <w:r>
      <w:rPr>
        <w:b/>
        <w:bCs/>
        <w:color w:val="173B70"/>
      </w:rPr>
      <w:t xml:space="preserve">NORTHSTAR UNIVERSITY</w:t>
    </w:r>
    <w:r>
      <w:rPr>
        <w:color w:val="555555"/>
      </w:rPr>
      <w:t xml:space="preserve">  |  NSU-LAB-2026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60"/>
      <w:outlineLvl w:val="0"/>
    </w:pPr>
    <w:rPr>
      <w:rFonts w:ascii="Arial" w:cs="Arial" w:eastAsia="Arial" w:hAnsi="Arial"/>
      <w:b/>
      <w:bCs/>
      <w:color w:val="173B7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Undergraduate Laboratory Safety Handbook</dc:title>
  <dc:subject>Synthetic document-intelligence course corpus</dc:subject>
  <dc:creator>Northstar University</dc:creator>
  <dc:description>Fictional educational document for a local RAG project.</dc:description>
  <cp:lastModifiedBy>Un-named</cp:lastModifiedBy>
  <cp:revision>1</cp:revision>
  <dcterms:created xsi:type="dcterms:W3CDTF">2026-08-14T00:19:01.409Z</dcterms:created>
  <dcterms:modified xsi:type="dcterms:W3CDTF">2026-08-14T00:19:01.409Z</dcterms:modified>
</cp:coreProperties>
</file>

<file path=docProps/custom.xml><?xml version="1.0" encoding="utf-8"?>
<Properties xmlns="http://schemas.openxmlformats.org/officeDocument/2006/custom-properties" xmlns:vt="http://schemas.openxmlformats.org/officeDocument/2006/docPropsVTypes"/>
</file>