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</w:pPr>
      <w:r>
        <w:rPr>
          <w:rFonts w:ascii="Arial" w:hAnsi="Arial"/>
          <w:b/>
          <w:color w:val="1479D1"/>
          <w:sz w:val="18"/>
        </w:rPr>
        <w:t>BreastScreening-AI</w:t>
      </w:r>
    </w:p>
    <w:p>
      <w:pPr>
        <w:spacing w:before="0" w:after="80" w:line="259" w:lineRule="auto"/>
      </w:pPr>
      <w:r>
        <w:rPr>
          <w:rFonts w:ascii="Arial" w:hAnsi="Arial"/>
          <w:b/>
          <w:color w:val="102A43"/>
          <w:sz w:val="48"/>
        </w:rPr>
        <w:t>Registry And Evidence Governance Update 2026</w:t>
      </w:r>
    </w:p>
    <w:p>
      <w:pPr>
        <w:spacing w:before="0" w:after="60" w:line="259" w:lineRule="auto"/>
      </w:pPr>
      <w:r>
        <w:rPr>
          <w:rFonts w:ascii="Arial" w:hAnsi="Arial"/>
          <w:b w:val="0"/>
          <w:color w:val="627D98"/>
          <w:sz w:val="18"/>
        </w:rPr>
        <w:t>Publication date: 24 July 2026</w:t>
      </w:r>
    </w:p>
    <w:p>
      <w:pPr>
        <w:spacing w:before="0" w:after="240" w:line="259" w:lineRule="auto"/>
      </w:pPr>
      <w:r>
        <w:rPr>
          <w:rFonts w:ascii="Arial" w:hAnsi="Arial"/>
          <w:b w:val="0"/>
          <w:color w:val="243B53"/>
          <w:sz w:val="22"/>
        </w:rPr>
        <w:t>A public-safe report summarizing registry scale and the reporting rules that apply to clinician and clinical-site references.</w:t>
      </w:r>
    </w:p>
    <w:p>
      <w:pPr>
        <w:spacing w:before="160" w:after="140" w:line="259" w:lineRule="auto"/>
      </w:pPr>
      <w:r>
        <w:rPr>
          <w:rFonts w:ascii="Arial" w:hAnsi="Arial"/>
          <w:b/>
          <w:color w:val="102A43"/>
          <w:sz w:val="28"/>
        </w:rPr>
        <w:t>Registry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102A4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60"/>
            <w:shd w:fill="102A4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0"/>
          </w:tcPr>
          <w:p>
            <w:r>
              <w:t>Registered clinicians in the internal registry</w:t>
            </w:r>
          </w:p>
        </w:tc>
        <w:tc>
          <w:tcPr>
            <w:tcW w:type="dxa" w:w="4960"/>
          </w:tcPr>
          <w:p>
            <w:r>
              <w:t>298</w:t>
            </w:r>
          </w:p>
        </w:tc>
      </w:tr>
      <w:tr>
        <w:tc>
          <w:tcPr>
            <w:tcW w:type="dxa" w:w="4960"/>
          </w:tcPr>
          <w:p>
            <w:r>
              <w:t>Registered clinical sites in the internal registry</w:t>
            </w:r>
          </w:p>
        </w:tc>
        <w:tc>
          <w:tcPr>
            <w:tcW w:type="dxa" w:w="4960"/>
          </w:tcPr>
          <w:p>
            <w:r>
              <w:t>32</w:t>
            </w:r>
          </w:p>
        </w:tc>
      </w:tr>
    </w:tbl>
    <w:p>
      <w:pPr>
        <w:spacing w:before="280" w:after="120" w:line="259" w:lineRule="auto"/>
      </w:pPr>
      <w:r>
        <w:rPr>
          <w:rFonts w:ascii="Arial" w:hAnsi="Arial"/>
          <w:b/>
          <w:color w:val="102A43"/>
          <w:sz w:val="28"/>
        </w:rPr>
        <w:t>Purpose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This report provides a public-safe summary of internal registry scale and evidence-governance constraints as of 24 July 2026.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It is intended to support communications, onboarding, and diligence preparation without disclosing direct personal identifiers, named clinicians, or named hospitals.</w:t>
      </w:r>
    </w:p>
    <w:p>
      <w:pPr>
        <w:spacing w:before="280" w:after="120" w:line="259" w:lineRule="auto"/>
      </w:pPr>
      <w:r>
        <w:rPr>
          <w:rFonts w:ascii="Arial" w:hAnsi="Arial"/>
          <w:b/>
          <w:color w:val="102A43"/>
          <w:sz w:val="28"/>
        </w:rPr>
        <w:t>Registry Scope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The clinician count reflects the current sequence of long internal clinician IDs in the internal clinician registry.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The clinical site count reflects the current sequence of long internal site IDs in the internal clinical-site registry.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These counts describe registry coverage only. They do not establish customer count, active deployment count, validation-partner count, public endorsement, or recurring operating activity at every registered site.</w:t>
      </w:r>
    </w:p>
    <w:p>
      <w:pPr>
        <w:spacing w:before="280" w:after="120" w:line="259" w:lineRule="auto"/>
      </w:pPr>
      <w:r>
        <w:rPr>
          <w:rFonts w:ascii="Arial" w:hAnsi="Arial"/>
          <w:b/>
          <w:color w:val="102A43"/>
          <w:sz w:val="28"/>
        </w:rPr>
        <w:t>Public Identification Rule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Public-facing reports should use only long internal identifiers such as Clinician 1 and Clinical Site 1 when individual clinician or site references are necessary.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Named clinicians, named hospitals, direct contact details, and other private identifying information should not appear in public report assets.</w:t>
      </w:r>
    </w:p>
    <w:p>
      <w:pPr>
        <w:spacing w:before="280" w:after="120" w:line="259" w:lineRule="auto"/>
      </w:pPr>
      <w:r>
        <w:rPr>
          <w:rFonts w:ascii="Arial" w:hAnsi="Arial"/>
          <w:b/>
          <w:color w:val="102A43"/>
          <w:sz w:val="28"/>
        </w:rPr>
        <w:t>Evidence Boundary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Registry counts are administrative control metrics rather than clinical, commercial, or partnership outcomes.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The counts do not establish study completion, pilot scope, signed contracts, hospital endorsement, regulatory status, or revenue generation.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When a report refers to specific studies or activities, the corresponding claims must still remain consistent with the public claims register and the underlying approved evidence package.</w:t>
      </w:r>
    </w:p>
    <w:p>
      <w:pPr>
        <w:spacing w:before="280" w:after="120" w:line="259" w:lineRule="auto"/>
      </w:pPr>
      <w:r>
        <w:rPr>
          <w:rFonts w:ascii="Arial" w:hAnsi="Arial"/>
          <w:b/>
          <w:color w:val="102A43"/>
          <w:sz w:val="28"/>
        </w:rPr>
        <w:t>Recommended Public Wording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Use "Registered clinicians in the internal registry: 298" when a clinician count is needed.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Use "Registered clinical sites in the internal registry: 32" when a site count is needed.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Avoid broader wording such as partner network, deployment network, customer network, or validated-site network unless separately supported by approved evidence.</w:t>
      </w:r>
    </w:p>
    <w:p>
      <w:pPr>
        <w:spacing w:before="200" w:after="100" w:line="259" w:lineRule="auto"/>
      </w:pPr>
      <w:r>
        <w:rPr>
          <w:rFonts w:ascii="Arial" w:hAnsi="Arial"/>
          <w:b/>
          <w:color w:val="102A43"/>
          <w:sz w:val="24"/>
        </w:rPr>
        <w:t>Source note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627D98"/>
          <w:sz w:val="19"/>
        </w:rPr>
        <w:t>Counts were derived from the internal clinician registry and internal clinical-site registry using long internal identifiers only. This report intentionally excludes direct names and direct site labels.</w:t>
      </w:r>
    </w:p>
    <w:sectPr w:rsidR="00FC693F" w:rsidRPr="0006063C" w:rsidSect="00034616">
      <w:pgSz w:w="12240" w:h="15840"/>
      <w:pgMar w:top="1080" w:right="1160" w:bottom="96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Registry And Evidence Governance Update 2026</dc:title>
  <dc:subject/>
  <dc:creator>BreastScreening-AI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