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259" w:lineRule="auto"/>
      </w:pPr>
      <w:r>
        <w:rPr>
          <w:rFonts w:ascii="Arial" w:hAnsi="Arial"/>
          <w:b/>
          <w:color w:val="1479D1"/>
          <w:sz w:val="18"/>
        </w:rPr>
        <w:t>BreastScreening-AI</w:t>
      </w:r>
    </w:p>
    <w:p>
      <w:pPr>
        <w:spacing w:before="0" w:after="80" w:line="259" w:lineRule="auto"/>
      </w:pPr>
      <w:r>
        <w:rPr>
          <w:rFonts w:ascii="Arial" w:hAnsi="Arial"/>
          <w:b/>
          <w:color w:val="102A43"/>
          <w:sz w:val="48"/>
        </w:rPr>
        <w:t>Annual Financial Statements 2024</w:t>
      </w:r>
    </w:p>
    <w:p>
      <w:pPr>
        <w:spacing w:before="0" w:after="60" w:line="259" w:lineRule="auto"/>
      </w:pPr>
      <w:r>
        <w:rPr>
          <w:rFonts w:ascii="Arial" w:hAnsi="Arial"/>
          <w:b w:val="0"/>
          <w:color w:val="627D98"/>
          <w:sz w:val="22"/>
        </w:rPr>
        <w:t>Year ended 31 December 2024</w:t>
      </w:r>
    </w:p>
    <w:p>
      <w:pPr>
        <w:spacing w:before="0" w:after="280" w:line="259" w:lineRule="auto"/>
      </w:pPr>
      <w:r>
        <w:rPr>
          <w:rFonts w:ascii="Arial" w:hAnsi="Arial"/>
          <w:b w:val="0"/>
          <w:color w:val="627D98"/>
          <w:sz w:val="18"/>
        </w:rPr>
        <w:t>Publication date: 15 June 2026</w:t>
      </w:r>
    </w:p>
    <w:p>
      <w:pPr>
        <w:spacing w:before="0" w:after="240" w:line="259" w:lineRule="auto"/>
      </w:pPr>
      <w:r>
        <w:rPr>
          <w:rFonts w:ascii="Arial" w:hAnsi="Arial"/>
          <w:b w:val="0"/>
          <w:color w:val="243B53"/>
          <w:sz w:val="22"/>
        </w:rPr>
        <w:t>FY2024 establishes the earliest public financial baseline for the company report archive.</w:t>
      </w:r>
    </w:p>
    <w:p>
      <w:pPr>
        <w:spacing w:before="160" w:after="140" w:line="259" w:lineRule="auto"/>
      </w:pPr>
      <w:r>
        <w:rPr>
          <w:rFonts w:ascii="Arial" w:hAnsi="Arial"/>
          <w:b/>
          <w:color w:val="102A43"/>
          <w:sz w:val="28"/>
        </w:rPr>
        <w:t>Key financial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4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040"/>
            <w:shd w:fill="102A4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assets</w:t>
            </w:r>
          </w:p>
        </w:tc>
        <w:tc>
          <w:tcPr>
            <w:tcW w:type="dxa" w:w="5040"/>
          </w:tcPr>
          <w:p>
            <w:r>
              <w:t>EUR 1,123.38</w:t>
            </w:r>
          </w:p>
        </w:tc>
      </w:tr>
      <w:tr>
        <w:tc>
          <w:tcPr>
            <w:tcW w:type="dxa" w:w="5040"/>
          </w:tcPr>
          <w:p>
            <w:r>
              <w:t>Cash and deposits</w:t>
            </w:r>
          </w:p>
        </w:tc>
        <w:tc>
          <w:tcPr>
            <w:tcW w:type="dxa" w:w="5040"/>
          </w:tcPr>
          <w:p>
            <w:r>
              <w:t>EUR 721.34</w:t>
            </w:r>
          </w:p>
        </w:tc>
      </w:tr>
      <w:tr>
        <w:tc>
          <w:tcPr>
            <w:tcW w:type="dxa" w:w="5040"/>
          </w:tcPr>
          <w:p>
            <w:r>
              <w:t>Equity</w:t>
            </w:r>
          </w:p>
        </w:tc>
        <w:tc>
          <w:tcPr>
            <w:tcW w:type="dxa" w:w="5040"/>
          </w:tcPr>
          <w:p>
            <w:r>
              <w:t>EUR -611.69</w:t>
            </w:r>
          </w:p>
        </w:tc>
      </w:tr>
      <w:tr>
        <w:tc>
          <w:tcPr>
            <w:tcW w:type="dxa" w:w="5040"/>
          </w:tcPr>
          <w:p>
            <w:r>
              <w:t>Liabilities</w:t>
            </w:r>
          </w:p>
        </w:tc>
        <w:tc>
          <w:tcPr>
            <w:tcW w:type="dxa" w:w="5040"/>
          </w:tcPr>
          <w:p>
            <w:r>
              <w:t>EUR 1,735.07</w:t>
            </w:r>
          </w:p>
        </w:tc>
      </w:tr>
      <w:tr>
        <w:tc>
          <w:tcPr>
            <w:tcW w:type="dxa" w:w="5040"/>
          </w:tcPr>
          <w:p>
            <w:r>
              <w:t>Subsidies</w:t>
            </w:r>
          </w:p>
        </w:tc>
        <w:tc>
          <w:tcPr>
            <w:tcW w:type="dxa" w:w="5040"/>
          </w:tcPr>
          <w:p>
            <w:r>
              <w:t>EUR 1,796.63</w:t>
            </w:r>
          </w:p>
        </w:tc>
      </w:tr>
      <w:tr>
        <w:tc>
          <w:tcPr>
            <w:tcW w:type="dxa" w:w="5040"/>
          </w:tcPr>
          <w:p>
            <w:r>
              <w:t>Net result</w:t>
            </w:r>
          </w:p>
        </w:tc>
        <w:tc>
          <w:tcPr>
            <w:tcW w:type="dxa" w:w="5040"/>
          </w:tcPr>
          <w:p>
            <w:r>
              <w:t>EUR -711.69</w:t>
            </w:r>
          </w:p>
        </w:tc>
      </w:tr>
    </w:tbl>
    <w:p>
      <w:pPr>
        <w:spacing w:before="280" w:after="140" w:line="259" w:lineRule="auto"/>
      </w:pPr>
      <w:r>
        <w:rPr>
          <w:rFonts w:ascii="Arial" w:hAnsi="Arial"/>
          <w:b/>
          <w:color w:val="102A43"/>
          <w:sz w:val="28"/>
        </w:rPr>
        <w:t>Management context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The year ended 31 December 2024 reflects an early operating baseline, with limited asset scale and negative equity.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The income statement included subsidies of EUR 1,796.63 and external services of EUR 2,489.63.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The source set does not establish an auditor opinion, cash-flow statement, statutory filing confirmation, signed customer contracts, valuation, or commercial forecast for FY2024.</w:t>
      </w:r>
    </w:p>
    <w:p>
      <w:pPr>
        <w:spacing w:before="200" w:after="140" w:line="259" w:lineRule="auto"/>
      </w:pPr>
      <w:r>
        <w:rPr>
          <w:rFonts w:ascii="Arial" w:hAnsi="Arial"/>
          <w:b/>
          <w:color w:val="102A43"/>
          <w:sz w:val="28"/>
        </w:rPr>
        <w:t>Evidence boundary</w:t>
      </w:r>
    </w:p>
    <w:p>
      <w:pPr>
        <w:spacing w:before="0" w:after="140" w:line="259" w:lineRule="auto"/>
      </w:pPr>
      <w:r>
        <w:rPr>
          <w:rFonts w:ascii="Arial" w:hAnsi="Arial"/>
          <w:b w:val="0"/>
          <w:color w:val="243B53"/>
          <w:sz w:val="21"/>
        </w:rPr>
        <w:t>This document is an editable companion source for the public PDF access copy. It does not replace the controlling signed accounting records.</w:t>
      </w:r>
    </w:p>
    <w:sectPr w:rsidR="00FC693F" w:rsidRPr="0006063C" w:rsidSect="00034616">
      <w:pgSz w:w="12240" w:h="15840"/>
      <w:pgMar w:top="104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Financial Statements 2024</dc:title>
  <dc:subject/>
  <dc:creator>BreastScreening-AI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