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0" w:line="259" w:lineRule="auto"/>
      </w:pPr>
      <w:r>
        <w:rPr>
          <w:rFonts w:ascii="Arial" w:hAnsi="Arial"/>
          <w:b/>
          <w:color w:val="1479D1"/>
          <w:sz w:val="18"/>
        </w:rPr>
        <w:t>BreastScreening-AI</w:t>
      </w:r>
    </w:p>
    <w:p>
      <w:pPr>
        <w:spacing w:before="0" w:after="80" w:line="259" w:lineRule="auto"/>
      </w:pPr>
      <w:r>
        <w:rPr>
          <w:rFonts w:ascii="Arial" w:hAnsi="Arial"/>
          <w:b/>
          <w:color w:val="102A43"/>
          <w:sz w:val="48"/>
        </w:rPr>
        <w:t>Interim Financial Statements 2026</w:t>
      </w:r>
    </w:p>
    <w:p>
      <w:pPr>
        <w:spacing w:before="0" w:after="60" w:line="259" w:lineRule="auto"/>
      </w:pPr>
      <w:r>
        <w:rPr>
          <w:rFonts w:ascii="Arial" w:hAnsi="Arial"/>
          <w:b w:val="0"/>
          <w:color w:val="627D98"/>
          <w:sz w:val="22"/>
        </w:rPr>
        <w:t>Interim period ended 28 February 2026</w:t>
      </w:r>
    </w:p>
    <w:p>
      <w:pPr>
        <w:spacing w:before="0" w:after="280" w:line="259" w:lineRule="auto"/>
      </w:pPr>
      <w:r>
        <w:rPr>
          <w:rFonts w:ascii="Arial" w:hAnsi="Arial"/>
          <w:b w:val="0"/>
          <w:color w:val="627D98"/>
          <w:sz w:val="18"/>
        </w:rPr>
        <w:t>Publication date: 15 June 2026</w:t>
      </w:r>
    </w:p>
    <w:p>
      <w:pPr>
        <w:spacing w:before="0" w:after="240" w:line="259" w:lineRule="auto"/>
      </w:pPr>
      <w:r>
        <w:rPr>
          <w:rFonts w:ascii="Arial" w:hAnsi="Arial"/>
          <w:b w:val="0"/>
          <w:color w:val="243B53"/>
          <w:sz w:val="22"/>
        </w:rPr>
        <w:t>The interim FY2026 view highlights liquidity and working-capital discipline before later funding events were confirmed.</w:t>
      </w:r>
    </w:p>
    <w:p>
      <w:pPr>
        <w:spacing w:before="160" w:after="140" w:line="259" w:lineRule="auto"/>
      </w:pPr>
      <w:r>
        <w:rPr>
          <w:rFonts w:ascii="Arial" w:hAnsi="Arial"/>
          <w:b/>
          <w:color w:val="102A43"/>
          <w:sz w:val="28"/>
        </w:rPr>
        <w:t>Key financial figures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02A4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5040"/>
            <w:shd w:fill="102A4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Total assets</w:t>
            </w:r>
          </w:p>
        </w:tc>
        <w:tc>
          <w:tcPr>
            <w:tcW w:type="dxa" w:w="5040"/>
          </w:tcPr>
          <w:p>
            <w:r>
              <w:t>EUR 7,476.39</w:t>
            </w:r>
          </w:p>
        </w:tc>
      </w:tr>
      <w:tr>
        <w:tc>
          <w:tcPr>
            <w:tcW w:type="dxa" w:w="5040"/>
          </w:tcPr>
          <w:p>
            <w:r>
              <w:t>Cash and deposits</w:t>
            </w:r>
          </w:p>
        </w:tc>
        <w:tc>
          <w:tcPr>
            <w:tcW w:type="dxa" w:w="5040"/>
          </w:tcPr>
          <w:p>
            <w:r>
              <w:t>EUR 258.30</w:t>
            </w:r>
          </w:p>
        </w:tc>
      </w:tr>
      <w:tr>
        <w:tc>
          <w:tcPr>
            <w:tcW w:type="dxa" w:w="5040"/>
          </w:tcPr>
          <w:p>
            <w:r>
              <w:t>Equity</w:t>
            </w:r>
          </w:p>
        </w:tc>
        <w:tc>
          <w:tcPr>
            <w:tcW w:type="dxa" w:w="5040"/>
          </w:tcPr>
          <w:p>
            <w:r>
              <w:t>EUR -1,064.88</w:t>
            </w:r>
          </w:p>
        </w:tc>
      </w:tr>
      <w:tr>
        <w:tc>
          <w:tcPr>
            <w:tcW w:type="dxa" w:w="5040"/>
          </w:tcPr>
          <w:p>
            <w:r>
              <w:t>Liabilities</w:t>
            </w:r>
          </w:p>
        </w:tc>
        <w:tc>
          <w:tcPr>
            <w:tcW w:type="dxa" w:w="5040"/>
          </w:tcPr>
          <w:p>
            <w:r>
              <w:t>EUR 8,541.27</w:t>
            </w:r>
          </w:p>
        </w:tc>
      </w:tr>
      <w:tr>
        <w:tc>
          <w:tcPr>
            <w:tcW w:type="dxa" w:w="5040"/>
          </w:tcPr>
          <w:p>
            <w:r>
              <w:t>Supplier liabilities</w:t>
            </w:r>
          </w:p>
        </w:tc>
        <w:tc>
          <w:tcPr>
            <w:tcW w:type="dxa" w:w="5040"/>
          </w:tcPr>
          <w:p>
            <w:r>
              <w:t>EUR 7,866.32</w:t>
            </w:r>
          </w:p>
        </w:tc>
      </w:tr>
      <w:tr>
        <w:tc>
          <w:tcPr>
            <w:tcW w:type="dxa" w:w="5040"/>
          </w:tcPr>
          <w:p>
            <w:r>
              <w:t>External services</w:t>
            </w:r>
          </w:p>
        </w:tc>
        <w:tc>
          <w:tcPr>
            <w:tcW w:type="dxa" w:w="5040"/>
          </w:tcPr>
          <w:p>
            <w:r>
              <w:t>EUR 1,372.42</w:t>
            </w:r>
          </w:p>
        </w:tc>
      </w:tr>
      <w:tr>
        <w:tc>
          <w:tcPr>
            <w:tcW w:type="dxa" w:w="5040"/>
          </w:tcPr>
          <w:p>
            <w:r>
              <w:t>Personnel expenses</w:t>
            </w:r>
          </w:p>
        </w:tc>
        <w:tc>
          <w:tcPr>
            <w:tcW w:type="dxa" w:w="5040"/>
          </w:tcPr>
          <w:p>
            <w:r>
              <w:t>EUR 2,624.44</w:t>
            </w:r>
          </w:p>
        </w:tc>
      </w:tr>
      <w:tr>
        <w:tc>
          <w:tcPr>
            <w:tcW w:type="dxa" w:w="5040"/>
          </w:tcPr>
          <w:p>
            <w:r>
              <w:t>Interim net result</w:t>
            </w:r>
          </w:p>
        </w:tc>
        <w:tc>
          <w:tcPr>
            <w:tcW w:type="dxa" w:w="5040"/>
          </w:tcPr>
          <w:p>
            <w:r>
              <w:t>EUR -4,575.68</w:t>
            </w:r>
          </w:p>
        </w:tc>
      </w:tr>
    </w:tbl>
    <w:p>
      <w:pPr>
        <w:spacing w:before="280" w:after="140" w:line="259" w:lineRule="auto"/>
      </w:pPr>
      <w:r>
        <w:rPr>
          <w:rFonts w:ascii="Arial" w:hAnsi="Arial"/>
          <w:b/>
          <w:color w:val="102A43"/>
          <w:sz w:val="28"/>
        </w:rPr>
        <w:t>Management context</w:t>
      </w:r>
    </w:p>
    <w:p>
      <w:pPr>
        <w:spacing w:before="0" w:after="140" w:line="259" w:lineRule="auto"/>
      </w:pPr>
      <w:r>
        <w:rPr>
          <w:rFonts w:ascii="Arial" w:hAnsi="Arial"/>
          <w:b w:val="0"/>
          <w:color w:val="243B53"/>
          <w:sz w:val="21"/>
        </w:rPr>
        <w:t>The interim period ended 28 February 2026 is not annualized and does not represent a full-year forecast.</w:t>
      </w:r>
    </w:p>
    <w:p>
      <w:pPr>
        <w:spacing w:before="0" w:after="140" w:line="259" w:lineRule="auto"/>
      </w:pPr>
      <w:r>
        <w:rPr>
          <w:rFonts w:ascii="Arial" w:hAnsi="Arial"/>
          <w:b w:val="0"/>
          <w:color w:val="243B53"/>
          <w:sz w:val="21"/>
        </w:rPr>
        <w:t>Low cash, negative equity, and supplier liabilities make funding timing, cost discipline, and working-capital control key investor diligence topics.</w:t>
      </w:r>
    </w:p>
    <w:p>
      <w:pPr>
        <w:spacing w:before="0" w:after="140" w:line="259" w:lineRule="auto"/>
      </w:pPr>
      <w:r>
        <w:rPr>
          <w:rFonts w:ascii="Arial" w:hAnsi="Arial"/>
          <w:b w:val="0"/>
          <w:color w:val="243B53"/>
          <w:sz w:val="21"/>
        </w:rPr>
        <w:t>The reviewed source set does not establish subsequent cash receipts, investor proceeds, customer collections, final EIC payment schedule, or full-year FY2026 forecast.</w:t>
      </w:r>
    </w:p>
    <w:p>
      <w:pPr>
        <w:spacing w:before="200" w:after="140" w:line="259" w:lineRule="auto"/>
      </w:pPr>
      <w:r>
        <w:rPr>
          <w:rFonts w:ascii="Arial" w:hAnsi="Arial"/>
          <w:b/>
          <w:color w:val="102A43"/>
          <w:sz w:val="28"/>
        </w:rPr>
        <w:t>Evidence boundary</w:t>
      </w:r>
    </w:p>
    <w:p>
      <w:pPr>
        <w:spacing w:before="0" w:after="140" w:line="259" w:lineRule="auto"/>
      </w:pPr>
      <w:r>
        <w:rPr>
          <w:rFonts w:ascii="Arial" w:hAnsi="Arial"/>
          <w:b w:val="0"/>
          <w:color w:val="243B53"/>
          <w:sz w:val="21"/>
        </w:rPr>
        <w:t>This document is an editable companion source for the public PDF access copy. It does not replace the controlling signed accounting records.</w:t>
      </w:r>
    </w:p>
    <w:sectPr w:rsidR="00FC693F" w:rsidRPr="0006063C" w:rsidSect="00034616">
      <w:pgSz w:w="12240" w:h="15840"/>
      <w:pgMar w:top="1040" w:right="1080" w:bottom="96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Interim Financial Statements 2026</dc:title>
  <dc:subject/>
  <dc:creator>BreastScreening-AI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