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9" w:lineRule="auto"/>
      </w:pPr>
      <w:r>
        <w:rPr>
          <w:rFonts w:ascii="Arial" w:hAnsi="Arial"/>
          <w:b/>
          <w:color w:val="1479D1"/>
          <w:sz w:val="18"/>
        </w:rPr>
        <w:t>BreastScreening-AI</w:t>
      </w:r>
    </w:p>
    <w:p>
      <w:pPr>
        <w:spacing w:before="0" w:after="80" w:line="259" w:lineRule="auto"/>
      </w:pPr>
      <w:r>
        <w:rPr>
          <w:rFonts w:ascii="Arial" w:hAnsi="Arial"/>
          <w:b/>
          <w:color w:val="102A43"/>
          <w:sz w:val="48"/>
        </w:rPr>
        <w:t>IR Letter 2024</w:t>
      </w:r>
    </w:p>
    <w:p>
      <w:pPr>
        <w:spacing w:before="0" w:after="60" w:line="259" w:lineRule="auto"/>
      </w:pPr>
      <w:r>
        <w:rPr>
          <w:rFonts w:ascii="Arial" w:hAnsi="Arial"/>
          <w:b w:val="0"/>
          <w:color w:val="627D98"/>
          <w:sz w:val="22"/>
        </w:rPr>
        <w:t>Year ended 31 December 2024</w:t>
      </w:r>
    </w:p>
    <w:p>
      <w:pPr>
        <w:spacing w:before="0" w:after="280" w:line="259" w:lineRule="auto"/>
      </w:pPr>
      <w:r>
        <w:rPr>
          <w:rFonts w:ascii="Arial" w:hAnsi="Arial"/>
          <w:b w:val="0"/>
          <w:color w:val="627D98"/>
          <w:sz w:val="18"/>
        </w:rPr>
        <w:t>Publication date: 15 June 2026</w:t>
      </w:r>
    </w:p>
    <w:p>
      <w:pPr>
        <w:spacing w:before="0" w:after="200" w:line="259" w:lineRule="auto"/>
      </w:pPr>
      <w:r>
        <w:rPr>
          <w:rFonts w:ascii="Arial" w:hAnsi="Arial"/>
          <w:b w:val="0"/>
          <w:color w:val="243B53"/>
          <w:sz w:val="21"/>
        </w:rPr>
        <w:t>Dear investors, partners, and stakeholders,</w:t>
      </w:r>
    </w:p>
    <w:p>
      <w:pPr>
        <w:spacing w:before="0" w:after="140" w:line="259" w:lineRule="auto"/>
      </w:pPr>
      <w:r>
        <w:rPr>
          <w:rFonts w:ascii="Arial" w:hAnsi="Arial"/>
          <w:b w:val="0"/>
          <w:color w:val="243B53"/>
          <w:sz w:val="21"/>
        </w:rPr>
        <w:t>FY2024 established the company's baseline for future investor reporting. The period closed with total assets of EUR 1,123.38, cash and deposits of EUR 721.34, equity of EUR -611.69, liabilities of EUR 1,735.07, and a net result of EUR -711.69.</w:t>
      </w:r>
    </w:p>
    <w:p>
      <w:pPr>
        <w:spacing w:before="0" w:after="140" w:line="259" w:lineRule="auto"/>
      </w:pPr>
      <w:r>
        <w:rPr>
          <w:rFonts w:ascii="Arial" w:hAnsi="Arial"/>
          <w:b w:val="0"/>
          <w:color w:val="243B53"/>
          <w:sz w:val="21"/>
        </w:rPr>
        <w:t>The period should be understood as an early formation and operating baseline rather than evidence of commercial scale. Subsidies of EUR 1,796.63 supported activity, while the reviewed records do not establish signed customer contracts, valuation, regulatory authorization, or a commercial forecast.</w:t>
      </w:r>
    </w:p>
    <w:p>
      <w:pPr>
        <w:spacing w:before="0" w:after="140" w:line="259" w:lineRule="auto"/>
      </w:pPr>
      <w:r>
        <w:rPr>
          <w:rFonts w:ascii="Arial" w:hAnsi="Arial"/>
          <w:b w:val="0"/>
          <w:color w:val="243B53"/>
          <w:sz w:val="21"/>
        </w:rPr>
        <w:t>Management's priority after FY2024 was to improve documentation quality, preserve source-backed claims, and prepare the company for more structured financial, grant, and investor communication.</w:t>
      </w:r>
    </w:p>
    <w:p>
      <w:pPr>
        <w:spacing w:before="160" w:after="60" w:line="259" w:lineRule="auto"/>
      </w:pPr>
      <w:r>
        <w:rPr>
          <w:rFonts w:ascii="Arial" w:hAnsi="Arial"/>
          <w:b w:val="0"/>
          <w:color w:val="243B53"/>
          <w:sz w:val="21"/>
        </w:rPr>
        <w:t>Sincerely,</w:t>
      </w:r>
    </w:p>
    <w:p>
      <w:pPr>
        <w:spacing w:before="0" w:after="0" w:line="259" w:lineRule="auto"/>
      </w:pPr>
      <w:r>
        <w:rPr>
          <w:rFonts w:ascii="Arial" w:hAnsi="Arial"/>
          <w:b w:val="0"/>
          <w:color w:val="243B53"/>
          <w:sz w:val="21"/>
        </w:rPr>
        <w:t>Management</w:t>
      </w:r>
    </w:p>
    <w:p>
      <w:pPr>
        <w:spacing w:before="0" w:after="200" w:line="259" w:lineRule="auto"/>
      </w:pPr>
      <w:r>
        <w:rPr>
          <w:rFonts w:ascii="Arial" w:hAnsi="Arial"/>
          <w:b w:val="0"/>
          <w:color w:val="243B53"/>
          <w:sz w:val="21"/>
        </w:rPr>
        <w:t>BreastScreening-AI</w:t>
      </w:r>
    </w:p>
    <w:p>
      <w:pPr>
        <w:spacing w:before="200" w:after="140" w:line="259" w:lineRule="auto"/>
      </w:pPr>
      <w:r>
        <w:rPr>
          <w:rFonts w:ascii="Arial" w:hAnsi="Arial"/>
          <w:b/>
          <w:color w:val="102A43"/>
          <w:sz w:val="24"/>
        </w:rPr>
        <w:t>Evidence boundary</w:t>
      </w:r>
    </w:p>
    <w:p>
      <w:pPr>
        <w:spacing w:before="0" w:after="140" w:line="259" w:lineRule="auto"/>
      </w:pPr>
      <w:r>
        <w:rPr>
          <w:rFonts w:ascii="Arial" w:hAnsi="Arial"/>
          <w:b w:val="0"/>
          <w:color w:val="243B53"/>
          <w:sz w:val="21"/>
        </w:rPr>
        <w:t>This letter uses only source-backed figures and documented events available in the reviewed source set.</w:t>
      </w:r>
    </w:p>
    <w:sectPr w:rsidR="00FC693F" w:rsidRPr="0006063C" w:rsidSect="00034616">
      <w:pgSz w:w="12240" w:h="15840"/>
      <w:pgMar w:top="1080" w:right="1160" w:bottom="96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Letter 2024</dc:title>
  <dc:subject/>
  <dc:creator>BreastScreening-AI</dc:creator>
  <cp:keywords/>
  <dc:description>generated by python-docx</dc:description>
  <cp:lastModifiedBy/>
  <cp:revision>1</cp:revision>
  <dcterms:created xsi:type="dcterms:W3CDTF">2013-12-23T23:15:00Z</dcterms:created>
  <dcterms:modified xsi:type="dcterms:W3CDTF">2013-12-23T23:15:00Z</dcterms:modified>
  <cp:category/>
</cp:coreProperties>
</file>