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INVESTOR NOTICE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FY2024 Annual Financial Statements Available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has published a financial statement access copy for the fiscal year ended 31 December 2024, based on the available FY2024 accounting records.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REPORTING PERIOD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Year ended 31 December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PUBLICATION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15 June 2026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RELATED DOCUMENT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Annual Financial Statements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CURRENCY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Euro (EUR)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1,123.38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Total assets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721.34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Cash and deposits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-611.69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Equity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1,735.07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Liabilities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1,796.63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Subsidies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-711.69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Net result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access copy summarizes the company's financial position and performance for FY2024.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At 31 December 2024, total assets were EUR 1,123.38, cash and deposits were EUR 721.34, equity was EUR -611.69, and liabilities were EUR 1,735.07.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income statement recorded EUR 1,796.63 in subsidies, EUR 2,489.63 in external services, and a net result of EUR -711.69.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document is presented as a company communication access copy and does not replace the controlling accounting records.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The FY2024 statement establishes the historical financial baseline used to assess subsequent changes in operating activity, capitalization, liquidity, and grant-backed development.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FY2024 balance sheet and income statement records for the year ended 31 December 2024.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The reviewed source set does not establish an auditor opinion, cash-flow statement, statutory filing confirmation, signed customer contracts, valuation, or commercial forecast for FY2024.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Investor Notice | 15 June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FY2024 Annual Financial Statements Available</dc:title>
  <dc:subject>Annual Financial Statements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