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  <w:jc w:val="left"/>
      </w:pPr>
      <w:r>
        <w:rPr>
          <w:rFonts w:ascii="Arial" w:hAnsi="Arial"/>
          <w:b/>
          <w:color w:val="1479D1"/>
          <w:sz w:val="17"/>
        </w:rPr>
        <w:t>INVESTOR NOTICE</w:t>
      </w:r>
    </w:p>
    <w:p>
      <w:pPr>
        <w:spacing w:before="0" w:after="160" w:line="264" w:lineRule="auto"/>
        <w:jc w:val="left"/>
      </w:pPr>
      <w:r>
        <w:rPr>
          <w:rFonts w:ascii="Arial" w:hAnsi="Arial"/>
          <w:b/>
          <w:color w:val="102A43"/>
          <w:sz w:val="46"/>
        </w:rPr>
        <w:t>FY2025 Annual Financial Statements Available</w:t>
      </w:r>
    </w:p>
    <w:p>
      <w:pPr>
        <w:spacing w:before="0" w:after="200" w:line="264" w:lineRule="auto"/>
        <w:jc w:val="left"/>
      </w:pPr>
      <w:r>
        <w:rPr>
          <w:rFonts w:ascii="Arial" w:hAnsi="Arial"/>
          <w:b w:val="0"/>
          <w:color w:val="243B53"/>
          <w:sz w:val="22"/>
        </w:rPr>
        <w:t>BreastScreening-AI has published a financial statement access copy for the fiscal year ended 31 December 2025, based on signed FY2025 accounting records.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9752"/>
            <w:gridSpan w:val="2"/>
            <w:shd w:fill="102A4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Event Details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REPORTING PERIOD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Year ended 31 December 2025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PUBLICATION DATE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15 June 2026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RELATED DOCUMENT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Annual Financial Statements 2025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CURRENCY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Euro (EUR)</w:t>
            </w:r>
          </w:p>
        </w:tc>
      </w:tr>
    </w:tbl>
    <w:p>
      <w:pPr>
        <w:spacing w:before="0" w:after="40" w:line="264" w:lineRule="auto"/>
        <w:jc w:val="left"/>
      </w:pPr>
      <w:r>
        <w:rPr>
          <w:rFonts w:ascii="Arial" w:hAnsi="Arial"/>
          <w:b w:val="0"/>
          <w:color w:val="243B53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9753"/>
            <w:gridSpan w:val="3"/>
            <w:shd w:fill="1479D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Key Figures</w:t>
            </w:r>
          </w:p>
        </w:tc>
      </w:tr>
      <w:tr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12,458.22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Total assets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3,856.90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Cash and deposits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3,510.80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Equity</w:t>
            </w:r>
          </w:p>
        </w:tc>
      </w:tr>
      <w:tr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8,947.42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Liabilities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24,500.00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Subsidies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1,122.49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Net result</w:t>
            </w:r>
          </w:p>
        </w:tc>
      </w:tr>
    </w:tbl>
    <w:p>
      <w:pPr>
        <w:pStyle w:val="Heading2"/>
      </w:pPr>
      <w:r>
        <w:t>Detailed Announcement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access copy summarizes the signed balance sheet and income statement records for FY2025.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At 31 December 2025, total assets were EUR 12,458.22, cash and deposits were EUR 3,856.90, equity was EUR 3,510.80, and liabilities were EUR 8,947.42.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income statement recorded EUR 24,500.00 in subsidies, EUR 100.00 in sales and services, and a net result of EUR 1,122.49.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document is presented as a company communication access copy and does not replace the controlling signed accounting records.</w:t>
      </w:r>
    </w:p>
    <w:p>
      <w:pPr>
        <w:pStyle w:val="Heading2"/>
      </w:pPr>
      <w:r>
        <w:t>Investor Relevance</w:t>
      </w:r>
    </w:p>
    <w:p>
      <w:pPr>
        <w:spacing w:before="0" w:after="120" w:line="264" w:lineRule="auto"/>
        <w:jc w:val="left"/>
      </w:pPr>
      <w:r>
        <w:rPr>
          <w:rFonts w:ascii="Arial" w:hAnsi="Arial"/>
          <w:b w:val="0"/>
          <w:color w:val="243B53"/>
          <w:sz w:val="19"/>
        </w:rPr>
        <w:t>The FY2025 statement supports review of operating scale, liquidity, working capital, subsidy dependence, and the early stage of commercial monetization.</w:t>
      </w:r>
    </w:p>
    <w:p>
      <w:pPr>
        <w:pStyle w:val="Heading2"/>
      </w:pPr>
      <w:r>
        <w:t>Source Basis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Signed FY2025 balance sheet and income statement records for the year ended 31 December 2025.</w:t>
      </w:r>
    </w:p>
    <w:p>
      <w:pPr>
        <w:pStyle w:val="Heading2"/>
      </w:pPr>
      <w:r>
        <w:t>Information Not Established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The reviewed source set does not include an auditor opinion, cash-flow statement, detailed accounting notes, statutory filing confirmation, or board-approved forward guidance.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27D98"/>
        <w:sz w:val="15"/>
      </w:rPr>
      <w:t>Company communication asset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102A43"/>
        <w:sz w:val="17"/>
      </w:rPr>
      <w:t>BreastScreening-AI</w:t>
    </w:r>
    <w:r>
      <w:rPr>
        <w:rFonts w:ascii="Arial" w:hAnsi="Arial"/>
        <w:b w:val="0"/>
        <w:color w:val="627D98"/>
        <w:sz w:val="16"/>
      </w:rPr>
      <w:t xml:space="preserve">    Investor Notice | 15 June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243B5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2A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FY2025 Annual Financial Statements Available</dc:title>
  <dc:subject>Annual Financial Statements</dc:subject>
  <dc:creator>BreastScreening-AI</dc:creator>
  <cp:keywords>investor relations, company communication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