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Arial" w:hAnsi="Arial"/>
          <w:b/>
          <w:color w:val="1479D1"/>
          <w:sz w:val="17"/>
        </w:rPr>
        <w:t>IR NEWS RELEASE</w:t>
      </w:r>
    </w:p>
    <w:p>
      <w:pPr>
        <w:spacing w:before="0" w:after="160" w:line="264" w:lineRule="auto"/>
        <w:jc w:val="left"/>
      </w:pPr>
      <w:r>
        <w:rPr>
          <w:rFonts w:ascii="Arial" w:hAnsi="Arial"/>
          <w:b/>
          <w:color w:val="102A43"/>
          <w:sz w:val="46"/>
        </w:rPr>
        <w:t>BreastScreening-AI Reports FY2025 Financial Results</w:t>
      </w:r>
    </w:p>
    <w:p>
      <w:pPr>
        <w:spacing w:before="0" w:after="200" w:line="264" w:lineRule="auto"/>
        <w:jc w:val="left"/>
      </w:pPr>
      <w:r>
        <w:rPr>
          <w:rFonts w:ascii="Arial" w:hAnsi="Arial"/>
          <w:b w:val="0"/>
          <w:color w:val="243B53"/>
          <w:sz w:val="22"/>
        </w:rPr>
        <w:t>BreastScreening-AI reports financial results for the year ended 31 December 2025 based on signed annual accounting records. The period closed with positive equity and a positive net result, while commercial revenue remained limited and operating activity continued to rely materially on subsidies.</w:t>
      </w:r>
    </w:p>
    <w:tbl>
      <w:tblPr>
        <w:tblW w:type="auto" w:w="0"/>
        <w:jc w:val="left"/>
        <w:tblLayout w:type="fixed"/>
        <w:tblLook w:firstColumn="1" w:firstRow="1" w:lastColumn="0" w:lastRow="0" w:noHBand="0" w:noVBand="1" w:val="04A0"/>
      </w:tblPr>
      <w:tblGrid>
        <w:gridCol w:w="4876"/>
        <w:gridCol w:w="4876"/>
      </w:tblGrid>
      <w:tr>
        <w:trPr>
          <w:tblHeader w:val="true"/>
        </w:trPr>
        <w:tc>
          <w:tcPr>
            <w:tcW w:type="dxa" w:w="9752"/>
            <w:gridSpan w:val="2"/>
            <w:shd w:fill="102A43"/>
            <w:tcMar>
              <w:top w:w="80" w:type="dxa"/>
              <w:start w:w="120" w:type="dxa"/>
              <w:bottom w:w="80" w:type="dxa"/>
              <w:end w:w="120" w:type="dxa"/>
            </w:tcMar>
          </w:tcPr>
          <w:p>
            <w:pPr>
              <w:spacing w:after="0"/>
            </w:pPr>
            <w:r>
              <w:rPr>
                <w:rFonts w:ascii="Arial" w:hAnsi="Arial"/>
                <w:b/>
                <w:color w:val="FFFFFF"/>
                <w:sz w:val="16"/>
              </w:rPr>
              <w:t>Event Details</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REPORTING PERIOD</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Year ended 31 December 2025</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PUBLICATION DATE</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15 June 2026</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SOURCE BASIS</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Signed balance sheet and income statement records</w:t>
            </w:r>
          </w:p>
        </w:tc>
      </w:tr>
      <w:tr>
        <w:tc>
          <w:tcPr>
            <w:tcW w:type="dxa" w:w="2376"/>
            <w:shd w:fill="F5F8FB"/>
            <w:tcMar>
              <w:top w:w="100" w:type="dxa"/>
              <w:start w:w="120" w:type="dxa"/>
              <w:bottom w:w="100" w:type="dxa"/>
              <w:end w:w="120" w:type="dxa"/>
            </w:tcMar>
            <w:vAlign w:val="center"/>
          </w:tcPr>
          <w:p>
            <w:pPr>
              <w:spacing w:after="0"/>
            </w:pPr>
            <w:r>
              <w:rPr>
                <w:rFonts w:ascii="Arial" w:hAnsi="Arial"/>
                <w:b/>
                <w:color w:val="627D98"/>
                <w:sz w:val="15"/>
              </w:rPr>
              <w:t>CURRENCY</w:t>
            </w:r>
          </w:p>
        </w:tc>
        <w:tc>
          <w:tcPr>
            <w:tcW w:type="dxa" w:w="6984"/>
            <w:shd w:fill="F5F8FB"/>
            <w:tcMar>
              <w:top w:w="100" w:type="dxa"/>
              <w:start w:w="120" w:type="dxa"/>
              <w:bottom w:w="100" w:type="dxa"/>
              <w:end w:w="120" w:type="dxa"/>
            </w:tcMar>
            <w:vAlign w:val="center"/>
          </w:tcPr>
          <w:p>
            <w:pPr>
              <w:spacing w:after="0"/>
            </w:pPr>
            <w:r>
              <w:rPr>
                <w:rFonts w:ascii="Arial" w:hAnsi="Arial"/>
                <w:b w:val="0"/>
                <w:color w:val="243B53"/>
                <w:sz w:val="18"/>
              </w:rPr>
              <w:t>Euro (EUR)</w:t>
            </w:r>
          </w:p>
        </w:tc>
      </w:tr>
    </w:tbl>
    <w:p>
      <w:pPr>
        <w:spacing w:before="0" w:after="40" w:line="264" w:lineRule="auto"/>
        <w:jc w:val="left"/>
      </w:pPr>
      <w:r>
        <w:rPr>
          <w:rFonts w:ascii="Arial" w:hAnsi="Arial"/>
          <w:b w:val="0"/>
          <w:color w:val="243B53"/>
          <w:sz w:val="4"/>
        </w:rPr>
      </w:r>
    </w:p>
    <w:tbl>
      <w:tblPr>
        <w:tblW w:type="auto" w:w="0"/>
        <w:jc w:val="left"/>
        <w:tblLayout w:type="fixed"/>
        <w:tblLook w:firstColumn="1" w:firstRow="1" w:lastColumn="0" w:lastRow="0" w:noHBand="0" w:noVBand="1" w:val="04A0"/>
      </w:tblPr>
      <w:tblGrid>
        <w:gridCol w:w="3251"/>
        <w:gridCol w:w="3251"/>
        <w:gridCol w:w="3251"/>
      </w:tblGrid>
      <w:tr>
        <w:trPr>
          <w:tblHeader w:val="true"/>
        </w:trPr>
        <w:tc>
          <w:tcPr>
            <w:tcW w:type="dxa" w:w="9753"/>
            <w:gridSpan w:val="3"/>
            <w:shd w:fill="1479D1"/>
            <w:tcMar>
              <w:top w:w="80" w:type="dxa"/>
              <w:start w:w="120" w:type="dxa"/>
              <w:bottom w:w="80" w:type="dxa"/>
              <w:end w:w="120" w:type="dxa"/>
            </w:tcMar>
          </w:tcPr>
          <w:p>
            <w:pPr>
              <w:spacing w:after="0"/>
            </w:pPr>
            <w:r>
              <w:rPr>
                <w:rFonts w:ascii="Arial" w:hAnsi="Arial"/>
                <w:b/>
                <w:color w:val="FFFFFF"/>
                <w:sz w:val="16"/>
              </w:rPr>
              <w:t>Key Figures</w:t>
            </w:r>
          </w:p>
        </w:tc>
      </w:tr>
      <w:tr>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12,458.22</w:t>
            </w:r>
          </w:p>
          <w:p>
            <w:pPr>
              <w:spacing w:after="0"/>
              <w:jc w:val="center"/>
            </w:pPr>
            <w:r>
              <w:rPr>
                <w:rFonts w:ascii="Arial" w:hAnsi="Arial"/>
                <w:b w:val="0"/>
                <w:color w:val="627D98"/>
                <w:sz w:val="15"/>
              </w:rPr>
              <w:t>Total assets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3,510.80</w:t>
            </w:r>
          </w:p>
          <w:p>
            <w:pPr>
              <w:spacing w:after="0"/>
              <w:jc w:val="center"/>
            </w:pPr>
            <w:r>
              <w:rPr>
                <w:rFonts w:ascii="Arial" w:hAnsi="Arial"/>
                <w:b w:val="0"/>
                <w:color w:val="627D98"/>
                <w:sz w:val="15"/>
              </w:rPr>
              <w:t>Equity</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1,122.49</w:t>
            </w:r>
          </w:p>
          <w:p>
            <w:pPr>
              <w:spacing w:after="0"/>
              <w:jc w:val="center"/>
            </w:pPr>
            <w:r>
              <w:rPr>
                <w:rFonts w:ascii="Arial" w:hAnsi="Arial"/>
                <w:b w:val="0"/>
                <w:color w:val="627D98"/>
                <w:sz w:val="15"/>
              </w:rPr>
              <w:t>Net result</w:t>
            </w:r>
          </w:p>
        </w:tc>
      </w:tr>
      <w:tr>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3,856.90</w:t>
            </w:r>
          </w:p>
          <w:p>
            <w:pPr>
              <w:spacing w:after="0"/>
              <w:jc w:val="center"/>
            </w:pPr>
            <w:r>
              <w:rPr>
                <w:rFonts w:ascii="Arial" w:hAnsi="Arial"/>
                <w:b w:val="0"/>
                <w:color w:val="627D98"/>
                <w:sz w:val="15"/>
              </w:rPr>
              <w:t>Cash and deposits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24,500.00</w:t>
            </w:r>
          </w:p>
          <w:p>
            <w:pPr>
              <w:spacing w:after="0"/>
              <w:jc w:val="center"/>
            </w:pPr>
            <w:r>
              <w:rPr>
                <w:rFonts w:ascii="Arial" w:hAnsi="Arial"/>
                <w:b w:val="0"/>
                <w:color w:val="627D98"/>
                <w:sz w:val="15"/>
              </w:rPr>
              <w:t>Subsidies</w:t>
            </w:r>
          </w:p>
        </w:tc>
        <w:tc>
          <w:tcPr>
            <w:tcW w:type="dxa" w:w="3096"/>
            <w:shd w:fill="EAF4FB"/>
            <w:tcMar>
              <w:top w:w="130" w:type="dxa"/>
              <w:start w:w="120" w:type="dxa"/>
              <w:bottom w:w="130" w:type="dxa"/>
              <w:end w:w="120" w:type="dxa"/>
            </w:tcMar>
            <w:vAlign w:val="center"/>
          </w:tcPr>
          <w:p>
            <w:pPr>
              <w:spacing w:after="40"/>
              <w:jc w:val="center"/>
            </w:pPr>
            <w:r>
              <w:rPr>
                <w:rFonts w:ascii="Arial" w:hAnsi="Arial"/>
                <w:b/>
                <w:color w:val="102A43"/>
                <w:sz w:val="23"/>
              </w:rPr>
              <w:t>EUR 100.00</w:t>
            </w:r>
          </w:p>
          <w:p>
            <w:pPr>
              <w:spacing w:after="0"/>
              <w:jc w:val="center"/>
            </w:pPr>
            <w:r>
              <w:rPr>
                <w:rFonts w:ascii="Arial" w:hAnsi="Arial"/>
                <w:b w:val="0"/>
                <w:color w:val="627D98"/>
                <w:sz w:val="15"/>
              </w:rPr>
              <w:t>Sales and services</w:t>
            </w:r>
          </w:p>
        </w:tc>
      </w:tr>
    </w:tbl>
    <w:p>
      <w:pPr>
        <w:pStyle w:val="Heading2"/>
      </w:pPr>
      <w:r>
        <w:t>Detailed Announcement</w:t>
      </w:r>
    </w:p>
    <w:p>
      <w:pPr>
        <w:pStyle w:val="ListBullet"/>
        <w:spacing w:after="80"/>
        <w:ind w:left="432" w:hanging="230"/>
      </w:pPr>
      <w:r>
        <w:rPr>
          <w:rFonts w:ascii="Arial" w:hAnsi="Arial"/>
          <w:b w:val="0"/>
          <w:color w:val="243B53"/>
          <w:sz w:val="19"/>
        </w:rPr>
        <w:t>At 31 December 2025, total assets were EUR 12,458.22, cash and deposits were EUR 3,856.90, equity was EUR 3,510.80, and liabilities were EUR 8,947.42.</w:t>
      </w:r>
    </w:p>
    <w:p>
      <w:pPr>
        <w:pStyle w:val="ListBullet"/>
        <w:spacing w:after="80"/>
        <w:ind w:left="432" w:hanging="230"/>
      </w:pPr>
      <w:r>
        <w:rPr>
          <w:rFonts w:ascii="Arial" w:hAnsi="Arial"/>
          <w:b w:val="0"/>
          <w:color w:val="243B53"/>
          <w:sz w:val="19"/>
        </w:rPr>
        <w:t>The income statement recorded EUR 24,500.00 in subsidies, EUR 100.00 in sales and services, EUR 3,000.00 in other income, and a net result of EUR 1,122.49.</w:t>
      </w:r>
    </w:p>
    <w:p>
      <w:pPr>
        <w:pStyle w:val="ListBullet"/>
        <w:spacing w:after="80"/>
        <w:ind w:left="432" w:hanging="230"/>
      </w:pPr>
      <w:r>
        <w:rPr>
          <w:rFonts w:ascii="Arial" w:hAnsi="Arial"/>
          <w:b w:val="0"/>
          <w:color w:val="243B53"/>
          <w:sz w:val="19"/>
        </w:rPr>
        <w:t>External services were EUR 17,760.11 and personnel expenses were EUR 5,852.31. Supplier liabilities at year end were EUR 7,227.74.</w:t>
      </w:r>
    </w:p>
    <w:p>
      <w:pPr>
        <w:pStyle w:val="ListBullet"/>
        <w:spacing w:after="80"/>
        <w:ind w:left="432" w:hanging="230"/>
      </w:pPr>
      <w:r>
        <w:rPr>
          <w:rFonts w:ascii="Arial" w:hAnsi="Arial"/>
          <w:b w:val="0"/>
          <w:color w:val="243B53"/>
          <w:sz w:val="19"/>
        </w:rPr>
        <w:t>The results document an expanded operating base compared with FY2024, but they do not establish recurring commercial revenue or a repeatable sales model.</w:t>
      </w:r>
    </w:p>
    <w:p>
      <w:pPr>
        <w:pStyle w:val="Heading2"/>
      </w:pPr>
      <w:r>
        <w:t>Investor Relevance</w:t>
      </w:r>
    </w:p>
    <w:p>
      <w:pPr>
        <w:spacing w:before="0" w:after="120" w:line="264" w:lineRule="auto"/>
        <w:jc w:val="left"/>
      </w:pPr>
      <w:r>
        <w:rPr>
          <w:rFonts w:ascii="Arial" w:hAnsi="Arial"/>
          <w:b w:val="0"/>
          <w:color w:val="243B53"/>
          <w:sz w:val="19"/>
        </w:rPr>
        <w:t>FY2025 provides a documented baseline for diligence on grant-backed execution, working capital, cost structure, and the transition toward commercial validation. The positive annual result should be read alongside the limited sales and services figure and the company's reliance on subsidies during the period.</w:t>
      </w:r>
    </w:p>
    <w:p>
      <w:pPr>
        <w:pStyle w:val="Heading2"/>
      </w:pPr>
      <w:r>
        <w:t>Source Basis</w:t>
      </w:r>
    </w:p>
    <w:p>
      <w:pPr>
        <w:spacing w:before="0" w:after="60" w:line="264" w:lineRule="auto"/>
        <w:jc w:val="left"/>
      </w:pPr>
      <w:r>
        <w:rPr>
          <w:rFonts w:ascii="Arial" w:hAnsi="Arial"/>
          <w:b w:val="0"/>
          <w:color w:val="243B53"/>
          <w:sz w:val="18"/>
        </w:rPr>
        <w:t>- Signed FY2025 balance sheet dated 31 December 2025.</w:t>
      </w:r>
    </w:p>
    <w:p>
      <w:pPr>
        <w:spacing w:before="0" w:after="60" w:line="264" w:lineRule="auto"/>
        <w:jc w:val="left"/>
      </w:pPr>
      <w:r>
        <w:rPr>
          <w:rFonts w:ascii="Arial" w:hAnsi="Arial"/>
          <w:b w:val="0"/>
          <w:color w:val="243B53"/>
          <w:sz w:val="18"/>
        </w:rPr>
        <w:t>- Signed FY2025 income statement dated 31 December 2025.</w:t>
      </w:r>
    </w:p>
    <w:p>
      <w:pPr>
        <w:pStyle w:val="Heading2"/>
      </w:pPr>
      <w:r>
        <w:t>Information Not Established</w:t>
      </w:r>
    </w:p>
    <w:p>
      <w:pPr>
        <w:spacing w:before="0" w:after="60" w:line="264" w:lineRule="auto"/>
        <w:jc w:val="left"/>
      </w:pPr>
      <w:r>
        <w:rPr>
          <w:rFonts w:ascii="Arial" w:hAnsi="Arial"/>
          <w:b w:val="0"/>
          <w:color w:val="243B53"/>
          <w:sz w:val="18"/>
        </w:rPr>
        <w:t>- The reviewed source set does not include an auditor opinion, cash-flow statement, detailed accounting notes, or statutory filing confirmation.</w:t>
      </w:r>
    </w:p>
    <w:p>
      <w:pPr>
        <w:spacing w:before="0" w:after="60" w:line="264" w:lineRule="auto"/>
        <w:jc w:val="left"/>
      </w:pPr>
      <w:r>
        <w:rPr>
          <w:rFonts w:ascii="Arial" w:hAnsi="Arial"/>
          <w:b w:val="0"/>
          <w:color w:val="243B53"/>
          <w:sz w:val="18"/>
        </w:rPr>
        <w:t>- No forward guidance, valuation, signed customer pipeline, or regulatory milestone is established by the financial records.</w:t>
      </w:r>
    </w:p>
    <w:sectPr w:rsidR="00FC693F" w:rsidRPr="0006063C" w:rsidSect="00034616">
      <w:headerReference w:type="default" r:id="rId9"/>
      <w:footerReference w:type="default" r:id="rId10"/>
      <w:pgSz w:w="11906" w:h="16838"/>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27D98"/>
        <w:sz w:val="15"/>
      </w:rPr>
      <w:t>Company communication asset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02A43"/>
        <w:sz w:val="17"/>
      </w:rPr>
      <w:t>BreastScreening-AI</w:t>
    </w:r>
    <w:r>
      <w:rPr>
        <w:rFonts w:ascii="Arial" w:hAnsi="Arial"/>
        <w:b w:val="0"/>
        <w:color w:val="627D98"/>
        <w:sz w:val="16"/>
      </w:rPr>
      <w:t xml:space="preserve">    IR News Release | 15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BreastScreening-AI Reports FY2025 Financial Results</dc:title>
  <dc:subject>Financial Results</dc:subject>
  <dc:creator>BreastScreening-AI</dc:creator>
  <cp:keywords>investor relations, company communication</cp:keywords>
  <dc:description>generated by python-docx</dc:description>
  <cp:lastModifiedBy/>
  <cp:revision>1</cp:revision>
  <dcterms:created xsi:type="dcterms:W3CDTF">2013-12-23T23:15:00Z</dcterms:created>
  <dcterms:modified xsi:type="dcterms:W3CDTF">2013-12-23T23:15:00Z</dcterms:modified>
  <cp:category/>
</cp:coreProperties>
</file>