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Arial" w:hAnsi="Arial"/>
          <w:b/>
          <w:color w:val="1479D1"/>
          <w:sz w:val="17"/>
        </w:rPr>
        <w:t>INVESTOR NOTICE</w:t>
      </w:r>
    </w:p>
    <w:p>
      <w:pPr>
        <w:spacing w:before="0" w:after="160" w:line="264" w:lineRule="auto"/>
        <w:jc w:val="left"/>
      </w:pPr>
      <w:r>
        <w:rPr>
          <w:rFonts w:ascii="Arial" w:hAnsi="Arial"/>
          <w:b/>
          <w:color w:val="102A43"/>
          <w:sz w:val="46"/>
        </w:rPr>
        <w:t>FY2024 Annual Financial Statements Available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243B53"/>
          <w:sz w:val="22"/>
        </w:rPr>
        <w:t>BreastScreening-AI has published a financial statement access copy for the fiscal year ended 31 December 2024, based on the available FY2024 accounting records.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9752"/>
            <w:gridSpan w:val="2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Event Details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REPORTING PERIOD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Year ended 31 December 2024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PUBLICATION DATE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15 June 2026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RELATED DOCUMENT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Annual Financial Statements 2024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CURRENCY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Euro (EUR)</w:t>
            </w:r>
          </w:p>
        </w:tc>
      </w:tr>
    </w:tbl>
    <w:p>
      <w:pPr>
        <w:spacing w:before="0" w:after="40" w:line="264" w:lineRule="auto"/>
        <w:jc w:val="left"/>
      </w:pPr>
      <w:r>
        <w:rPr>
          <w:rFonts w:ascii="Arial" w:hAnsi="Arial"/>
          <w:b w:val="0"/>
          <w:color w:val="243B53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753"/>
            <w:gridSpan w:val="3"/>
            <w:shd w:fill="1479D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Figures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1,123.38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Total assets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721.34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Cash and deposits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-611.69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Equity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1,735.07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Liabilities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1,796.63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Subsidies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-711.69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Net result</w:t>
            </w:r>
          </w:p>
        </w:tc>
      </w:tr>
    </w:tbl>
    <w:p>
      <w:pPr>
        <w:pStyle w:val="Heading2"/>
      </w:pPr>
      <w:r>
        <w:t>Detailed Announcement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access copy summarizes the company's financial position and performance for FY2024.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At 31 December 2024, total assets were EUR 1,123.38, cash and deposits were EUR 721.34, equity was EUR -611.69, and liabilities were EUR 1,735.07.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income statement recorded EUR 1,796.63 in subsidies, EUR 2,489.63 in external services, and a net result of EUR -711.69.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document is presented as a company communication access copy and does not replace the controlling accounting records.</w:t>
      </w:r>
    </w:p>
    <w:p>
      <w:pPr>
        <w:pStyle w:val="Heading2"/>
      </w:pPr>
      <w:r>
        <w:t>Investor Relevance</w:t>
      </w:r>
    </w:p>
    <w:p>
      <w:pPr>
        <w:spacing w:before="0" w:after="120" w:line="264" w:lineRule="auto"/>
        <w:jc w:val="left"/>
      </w:pPr>
      <w:r>
        <w:rPr>
          <w:rFonts w:ascii="Arial" w:hAnsi="Arial"/>
          <w:b w:val="0"/>
          <w:color w:val="243B53"/>
          <w:sz w:val="19"/>
        </w:rPr>
        <w:t>The FY2024 statement establishes the historical financial baseline used to assess subsequent changes in operating activity, capitalization, liquidity, and grant-backed development.</w:t>
      </w:r>
    </w:p>
    <w:p>
      <w:pPr>
        <w:pStyle w:val="Heading2"/>
      </w:pPr>
      <w:r>
        <w:t>Source Basis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FY2024 balance sheet and income statement records for the year ended 31 December 2024.</w:t>
      </w:r>
    </w:p>
    <w:p>
      <w:pPr>
        <w:pStyle w:val="Heading2"/>
      </w:pPr>
      <w:r>
        <w:t>Information Not Established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The reviewed source set does not establish an auditor opinion, cash-flow statement, statutory filing confirmation, signed customer contracts, valuation, or commercial forecast for FY2024.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27D98"/>
        <w:sz w:val="15"/>
      </w:rPr>
      <w:t>Company communication asset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02A43"/>
        <w:sz w:val="17"/>
      </w:rPr>
      <w:t>BreastScreening-AI</w:t>
    </w:r>
    <w:r>
      <w:rPr>
        <w:rFonts w:ascii="Arial" w:hAnsi="Arial"/>
        <w:b w:val="0"/>
        <w:color w:val="627D98"/>
        <w:sz w:val="16"/>
      </w:rPr>
      <w:t xml:space="preserve">    Investor Notice | 15 June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FY2024 Annual Financial Statements Available</dc:title>
  <dc:subject>Annual Financial Statements</dc:subject>
  <dc:creator>BreastScreening-AI</dc:creator>
  <cp:keywords>investor relations, company communication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