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  <w:jc w:val="left"/>
      </w:pPr>
      <w:r>
        <w:rPr>
          <w:rFonts w:ascii="Arial" w:hAnsi="Arial"/>
          <w:b/>
          <w:color w:val="1479D1"/>
          <w:sz w:val="17"/>
        </w:rPr>
        <w:t>INVESTOR NOTICE</w:t>
      </w:r>
    </w:p>
    <w:p>
      <w:pPr>
        <w:spacing w:before="0" w:after="160" w:line="264" w:lineRule="auto"/>
        <w:jc w:val="left"/>
      </w:pPr>
      <w:r>
        <w:rPr>
          <w:rFonts w:ascii="Arial" w:hAnsi="Arial"/>
          <w:b/>
          <w:color w:val="102A43"/>
          <w:sz w:val="46"/>
        </w:rPr>
        <w:t>FY2025 Annual Financial Statements Available</w:t>
      </w:r>
    </w:p>
    <w:p>
      <w:pPr>
        <w:spacing w:before="0" w:after="200" w:line="264" w:lineRule="auto"/>
        <w:jc w:val="left"/>
      </w:pPr>
      <w:r>
        <w:rPr>
          <w:rFonts w:ascii="Arial" w:hAnsi="Arial"/>
          <w:b w:val="0"/>
          <w:color w:val="243B53"/>
          <w:sz w:val="22"/>
        </w:rPr>
        <w:t>BreastScreening-AI has published a financial statement access copy for the fiscal year ended 31 December 2025, based on signed FY2025 accounting records.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9752"/>
            <w:gridSpan w:val="2"/>
            <w:shd w:fill="102A4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Event Details</w:t>
            </w:r>
          </w:p>
        </w:tc>
      </w:tr>
      <w:tr>
        <w:tc>
          <w:tcPr>
            <w:tcW w:type="dxa" w:w="2376"/>
            <w:shd w:fill="F5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627D98"/>
                <w:sz w:val="15"/>
              </w:rPr>
              <w:t>REPORTING PERIOD</w:t>
            </w:r>
          </w:p>
        </w:tc>
        <w:tc>
          <w:tcPr>
            <w:tcW w:type="dxa" w:w="6984"/>
            <w:shd w:fill="F5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B53"/>
                <w:sz w:val="18"/>
              </w:rPr>
              <w:t>Year ended 31 December 2025</w:t>
            </w:r>
          </w:p>
        </w:tc>
      </w:tr>
      <w:tr>
        <w:tc>
          <w:tcPr>
            <w:tcW w:type="dxa" w:w="2376"/>
            <w:shd w:fill="F5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627D98"/>
                <w:sz w:val="15"/>
              </w:rPr>
              <w:t>PUBLICATION DATE</w:t>
            </w:r>
          </w:p>
        </w:tc>
        <w:tc>
          <w:tcPr>
            <w:tcW w:type="dxa" w:w="6984"/>
            <w:shd w:fill="F5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B53"/>
                <w:sz w:val="18"/>
              </w:rPr>
              <w:t>15 June 2026</w:t>
            </w:r>
          </w:p>
        </w:tc>
      </w:tr>
      <w:tr>
        <w:tc>
          <w:tcPr>
            <w:tcW w:type="dxa" w:w="2376"/>
            <w:shd w:fill="F5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627D98"/>
                <w:sz w:val="15"/>
              </w:rPr>
              <w:t>RELATED DOCUMENT</w:t>
            </w:r>
          </w:p>
        </w:tc>
        <w:tc>
          <w:tcPr>
            <w:tcW w:type="dxa" w:w="6984"/>
            <w:shd w:fill="F5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B53"/>
                <w:sz w:val="18"/>
              </w:rPr>
              <w:t>Annual Financial Statements 2025</w:t>
            </w:r>
          </w:p>
        </w:tc>
      </w:tr>
      <w:tr>
        <w:tc>
          <w:tcPr>
            <w:tcW w:type="dxa" w:w="2376"/>
            <w:shd w:fill="F5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627D98"/>
                <w:sz w:val="15"/>
              </w:rPr>
              <w:t>CURRENCY</w:t>
            </w:r>
          </w:p>
        </w:tc>
        <w:tc>
          <w:tcPr>
            <w:tcW w:type="dxa" w:w="6984"/>
            <w:shd w:fill="F5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B53"/>
                <w:sz w:val="18"/>
              </w:rPr>
              <w:t>Euro (EUR)</w:t>
            </w:r>
          </w:p>
        </w:tc>
      </w:tr>
    </w:tbl>
    <w:p>
      <w:pPr>
        <w:spacing w:before="0" w:after="40" w:line="264" w:lineRule="auto"/>
        <w:jc w:val="left"/>
      </w:pPr>
      <w:r>
        <w:rPr>
          <w:rFonts w:ascii="Arial" w:hAnsi="Arial"/>
          <w:b w:val="0"/>
          <w:color w:val="243B53"/>
          <w:sz w:val="4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9753"/>
            <w:gridSpan w:val="3"/>
            <w:shd w:fill="1479D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Key Figures</w:t>
            </w:r>
          </w:p>
        </w:tc>
      </w:tr>
      <w:tr>
        <w:tc>
          <w:tcPr>
            <w:tcW w:type="dxa" w:w="3096"/>
            <w:shd w:fill="EAF4FB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02A43"/>
                <w:sz w:val="23"/>
              </w:rPr>
              <w:t>EUR 12,458.22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627D98"/>
                <w:sz w:val="15"/>
              </w:rPr>
              <w:t>Total assets</w:t>
            </w:r>
          </w:p>
        </w:tc>
        <w:tc>
          <w:tcPr>
            <w:tcW w:type="dxa" w:w="3096"/>
            <w:shd w:fill="EAF4FB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02A43"/>
                <w:sz w:val="23"/>
              </w:rPr>
              <w:t>EUR 3,856.90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627D98"/>
                <w:sz w:val="15"/>
              </w:rPr>
              <w:t>Cash and deposits</w:t>
            </w:r>
          </w:p>
        </w:tc>
        <w:tc>
          <w:tcPr>
            <w:tcW w:type="dxa" w:w="3096"/>
            <w:shd w:fill="EAF4FB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02A43"/>
                <w:sz w:val="23"/>
              </w:rPr>
              <w:t>EUR 3,510.80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627D98"/>
                <w:sz w:val="15"/>
              </w:rPr>
              <w:t>Equity</w:t>
            </w:r>
          </w:p>
        </w:tc>
      </w:tr>
      <w:tr>
        <w:tc>
          <w:tcPr>
            <w:tcW w:type="dxa" w:w="3096"/>
            <w:shd w:fill="EAF4FB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02A43"/>
                <w:sz w:val="23"/>
              </w:rPr>
              <w:t>EUR 8,947.42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627D98"/>
                <w:sz w:val="15"/>
              </w:rPr>
              <w:t>Liabilities</w:t>
            </w:r>
          </w:p>
        </w:tc>
        <w:tc>
          <w:tcPr>
            <w:tcW w:type="dxa" w:w="3096"/>
            <w:shd w:fill="EAF4FB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02A43"/>
                <w:sz w:val="23"/>
              </w:rPr>
              <w:t>EUR 24,500.00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627D98"/>
                <w:sz w:val="15"/>
              </w:rPr>
              <w:t>Subsidies</w:t>
            </w:r>
          </w:p>
        </w:tc>
        <w:tc>
          <w:tcPr>
            <w:tcW w:type="dxa" w:w="3096"/>
            <w:shd w:fill="EAF4FB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02A43"/>
                <w:sz w:val="23"/>
              </w:rPr>
              <w:t>EUR 1,122.49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627D98"/>
                <w:sz w:val="15"/>
              </w:rPr>
              <w:t>Net result</w:t>
            </w:r>
          </w:p>
        </w:tc>
      </w:tr>
    </w:tbl>
    <w:p>
      <w:pPr>
        <w:pStyle w:val="Heading2"/>
      </w:pPr>
      <w:r>
        <w:t>Detailed Announcement</w:t>
      </w:r>
    </w:p>
    <w:p>
      <w:pPr>
        <w:pStyle w:val="ListBullet"/>
        <w:spacing w:after="80"/>
        <w:ind w:left="432" w:hanging="230"/>
      </w:pPr>
      <w:r>
        <w:rPr>
          <w:rFonts w:ascii="Arial" w:hAnsi="Arial"/>
          <w:b w:val="0"/>
          <w:color w:val="243B53"/>
          <w:sz w:val="19"/>
        </w:rPr>
        <w:t>The access copy summarizes the signed balance sheet and income statement records for FY2025.</w:t>
      </w:r>
    </w:p>
    <w:p>
      <w:pPr>
        <w:pStyle w:val="ListBullet"/>
        <w:spacing w:after="80"/>
        <w:ind w:left="432" w:hanging="230"/>
      </w:pPr>
      <w:r>
        <w:rPr>
          <w:rFonts w:ascii="Arial" w:hAnsi="Arial"/>
          <w:b w:val="0"/>
          <w:color w:val="243B53"/>
          <w:sz w:val="19"/>
        </w:rPr>
        <w:t>At 31 December 2025, total assets were EUR 12,458.22, cash and deposits were EUR 3,856.90, equity was EUR 3,510.80, and liabilities were EUR 8,947.42.</w:t>
      </w:r>
    </w:p>
    <w:p>
      <w:pPr>
        <w:pStyle w:val="ListBullet"/>
        <w:spacing w:after="80"/>
        <w:ind w:left="432" w:hanging="230"/>
      </w:pPr>
      <w:r>
        <w:rPr>
          <w:rFonts w:ascii="Arial" w:hAnsi="Arial"/>
          <w:b w:val="0"/>
          <w:color w:val="243B53"/>
          <w:sz w:val="19"/>
        </w:rPr>
        <w:t>The income statement recorded EUR 24,500.00 in subsidies, EUR 100.00 in sales and services, and a net result of EUR 1,122.49.</w:t>
      </w:r>
    </w:p>
    <w:p>
      <w:pPr>
        <w:pStyle w:val="ListBullet"/>
        <w:spacing w:after="80"/>
        <w:ind w:left="432" w:hanging="230"/>
      </w:pPr>
      <w:r>
        <w:rPr>
          <w:rFonts w:ascii="Arial" w:hAnsi="Arial"/>
          <w:b w:val="0"/>
          <w:color w:val="243B53"/>
          <w:sz w:val="19"/>
        </w:rPr>
        <w:t>The document is presented as a company communication access copy and does not replace the controlling signed accounting records.</w:t>
      </w:r>
    </w:p>
    <w:p>
      <w:pPr>
        <w:pStyle w:val="Heading2"/>
      </w:pPr>
      <w:r>
        <w:t>Investor Relevance</w:t>
      </w:r>
    </w:p>
    <w:p>
      <w:pPr>
        <w:spacing w:before="0" w:after="120" w:line="264" w:lineRule="auto"/>
        <w:jc w:val="left"/>
      </w:pPr>
      <w:r>
        <w:rPr>
          <w:rFonts w:ascii="Arial" w:hAnsi="Arial"/>
          <w:b w:val="0"/>
          <w:color w:val="243B53"/>
          <w:sz w:val="19"/>
        </w:rPr>
        <w:t>The FY2025 statement supports review of operating scale, liquidity, working capital, subsidy dependence, and the early stage of commercial monetization.</w:t>
      </w:r>
    </w:p>
    <w:p>
      <w:pPr>
        <w:pStyle w:val="Heading2"/>
      </w:pPr>
      <w:r>
        <w:t>Source Basis</w:t>
      </w:r>
    </w:p>
    <w:p>
      <w:pPr>
        <w:spacing w:before="0" w:after="60" w:line="264" w:lineRule="auto"/>
        <w:jc w:val="left"/>
      </w:pPr>
      <w:r>
        <w:rPr>
          <w:rFonts w:ascii="Arial" w:hAnsi="Arial"/>
          <w:b w:val="0"/>
          <w:color w:val="243B53"/>
          <w:sz w:val="18"/>
        </w:rPr>
        <w:t>- Signed FY2025 balance sheet and income statement records for the year ended 31 December 2025.</w:t>
      </w:r>
    </w:p>
    <w:p>
      <w:pPr>
        <w:pStyle w:val="Heading2"/>
      </w:pPr>
      <w:r>
        <w:t>Information Not Established</w:t>
      </w:r>
    </w:p>
    <w:p>
      <w:pPr>
        <w:spacing w:before="0" w:after="60" w:line="264" w:lineRule="auto"/>
        <w:jc w:val="left"/>
      </w:pPr>
      <w:r>
        <w:rPr>
          <w:rFonts w:ascii="Arial" w:hAnsi="Arial"/>
          <w:b w:val="0"/>
          <w:color w:val="243B53"/>
          <w:sz w:val="18"/>
        </w:rPr>
        <w:t>- The reviewed source set does not include an auditor opinion, cash-flow statement, detailed accounting notes, statutory filing confirmation, or board-approved forward guidance.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1020" w:left="107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627D98"/>
        <w:sz w:val="15"/>
      </w:rPr>
      <w:t>Company communication asset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color w:val="102A43"/>
        <w:sz w:val="17"/>
      </w:rPr>
      <w:t>BreastScreening-AI</w:t>
    </w:r>
    <w:r>
      <w:rPr>
        <w:rFonts w:ascii="Arial" w:hAnsi="Arial"/>
        <w:b w:val="0"/>
        <w:color w:val="627D98"/>
        <w:sz w:val="16"/>
      </w:rPr>
      <w:t xml:space="preserve">    Investor Notice | 15 June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/>
      <w:color w:val="243B5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02A4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02A4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02A4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FY2025 Annual Financial Statements Available</dc:title>
  <dc:subject>Annual Financial Statements</dc:subject>
  <dc:creator>BreastScreening-AI</dc:creator>
  <cp:keywords>investor relations, company communication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