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</w:pPr>
      <w:r>
        <w:rPr>
          <w:rFonts w:ascii="Aptos" w:hAnsi="Aptos"/>
          <w:b/>
          <w:i w:val="0"/>
          <w:color w:val="071B33"/>
          <w:sz w:val="20"/>
        </w:rPr>
        <w:t>BreastScreening-AI</w:t>
      </w:r>
    </w:p>
    <w:tbl>
      <w:tblPr>
        <w:tblW w:type="dxa" w:w="1440"/>
        <w:jc w:val="left"/>
        <w:tblLook w:firstColumn="1" w:firstRow="1" w:lastColumn="0" w:lastRow="0" w:noHBand="0" w:noVBand="1" w:val="04A0"/>
        <w:tblInd w:w="0" w:type="dxa"/>
      </w:tblPr>
      <w:tblGrid>
        <w:gridCol w:w="9994"/>
      </w:tblGrid>
      <w:tr>
        <w:tc>
          <w:tcPr>
            <w:tcW w:type="dxa" w:w="9994"/>
            <w:shd w:fill="1264FF"/>
            <w:tcBorders>
              <w:top w:val="single" w:sz="0" w:space="0" w:color="1264FF"/>
              <w:left w:val="single" w:sz="0" w:space="0" w:color="1264FF"/>
              <w:bottom w:val="single" w:sz="0" w:space="0" w:color="1264FF"/>
              <w:right w:val="single" w:sz="0" w:space="0" w:color="1264FF"/>
            </w:tcBorders>
          </w:tcPr>
          <w:p>
            <w:pPr>
              <w:spacing w:after="0"/>
            </w:pPr>
            <w:r/>
          </w:p>
        </w:tc>
      </w:tr>
    </w:tbl>
    <w:p>
      <w:pPr>
        <w:spacing w:before="480" w:after="80" w:line="259" w:lineRule="auto"/>
      </w:pPr>
      <w:r>
        <w:rPr>
          <w:rFonts w:ascii="Aptos" w:hAnsi="Aptos"/>
          <w:b/>
          <w:i w:val="0"/>
          <w:color w:val="12A875"/>
          <w:sz w:val="18"/>
        </w:rPr>
        <w:t>ANNUAL FINANCIAL STATEMENTS TEMPLATE</w:t>
      </w:r>
    </w:p>
    <w:p>
      <w:pPr>
        <w:spacing w:before="0" w:after="160" w:line="259" w:lineRule="auto"/>
      </w:pPr>
      <w:r>
        <w:rPr>
          <w:rFonts w:ascii="Aptos" w:hAnsi="Aptos"/>
          <w:b/>
          <w:i w:val="0"/>
          <w:color w:val="071B33"/>
          <w:sz w:val="52"/>
        </w:rPr>
        <w:t>Annual Financial Statements</w:t>
      </w:r>
    </w:p>
    <w:p>
      <w:pPr>
        <w:spacing w:before="0" w:after="360" w:line="259" w:lineRule="auto"/>
      </w:pPr>
      <w:r>
        <w:rPr>
          <w:rFonts w:ascii="Aptos" w:hAnsi="Aptos"/>
          <w:b w:val="0"/>
          <w:i w:val="0"/>
          <w:color w:val="526173"/>
          <w:sz w:val="23"/>
        </w:rPr>
        <w:t>Word-first structure for annual or interim accounting records, with editable sections and source-backed financial placeholders.</w:t>
      </w:r>
    </w:p>
    <w:tbl>
      <w:tblPr>
        <w:tblW w:type="dxa" w:w="9000"/>
        <w:jc w:val="center"/>
        <w:tblLook w:firstColumn="1" w:firstRow="1" w:lastColumn="0" w:lastRow="0" w:noHBand="0" w:noVBand="1" w:val="04A0"/>
        <w:tblInd w:w="120" w:type="dxa"/>
      </w:tblPr>
      <w:tblGrid>
        <w:gridCol w:w="3331"/>
        <w:gridCol w:w="3331"/>
        <w:gridCol w:w="3331"/>
      </w:tblGrid>
      <w:tr>
        <w:tc>
          <w:tcPr>
            <w:tcW w:type="dxa" w:w="3000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space="0" w:color="CFE0F5"/>
              <w:left w:val="single" w:sz="8" w:space="0" w:color="CFE0F5"/>
              <w:bottom w:val="single" w:sz="8" w:space="0" w:color="CFE0F5"/>
              <w:right w:val="single" w:sz="8" w:space="0" w:color="CFE0F5"/>
            </w:tcBorders>
            <w:shd w:fill="EAF2FF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071B33"/>
                <w:sz w:val="22"/>
              </w:rPr>
              <w:t>[Metric 1]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526173"/>
                <w:sz w:val="15"/>
              </w:rPr>
              <w:t>Replace with source-backed figure</w:t>
            </w:r>
          </w:p>
        </w:tc>
        <w:tc>
          <w:tcPr>
            <w:tcW w:type="dxa" w:w="3000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space="0" w:color="CFE0F5"/>
              <w:left w:val="single" w:sz="8" w:space="0" w:color="CFE0F5"/>
              <w:bottom w:val="single" w:sz="8" w:space="0" w:color="CFE0F5"/>
              <w:right w:val="single" w:sz="8" w:space="0" w:color="CFE0F5"/>
            </w:tcBorders>
            <w:shd w:fill="EAF2FF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071B33"/>
                <w:sz w:val="22"/>
              </w:rPr>
              <w:t>[Metric 2]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526173"/>
                <w:sz w:val="15"/>
              </w:rPr>
              <w:t>Replace with source-backed figure</w:t>
            </w:r>
          </w:p>
        </w:tc>
        <w:tc>
          <w:tcPr>
            <w:tcW w:type="dxa" w:w="3000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space="0" w:color="CFE0F5"/>
              <w:left w:val="single" w:sz="8" w:space="0" w:color="CFE0F5"/>
              <w:bottom w:val="single" w:sz="8" w:space="0" w:color="CFE0F5"/>
              <w:right w:val="single" w:sz="8" w:space="0" w:color="CFE0F5"/>
            </w:tcBorders>
            <w:shd w:fill="EAF2FF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071B33"/>
                <w:sz w:val="22"/>
              </w:rPr>
              <w:t>[Metric 3]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526173"/>
                <w:sz w:val="15"/>
              </w:rPr>
              <w:t>Replace with source-backed figure</w:t>
            </w:r>
          </w:p>
        </w:tc>
      </w:tr>
    </w:tbl>
    <w:p>
      <w:pPr>
        <w:spacing w:before="0" w:after="120" w:line="259" w:lineRule="auto"/>
      </w:pPr>
    </w:p>
    <w:tbl>
      <w:tblPr>
        <w:tblW w:type="dxa" w:w="9000"/>
        <w:tblLook w:firstColumn="1" w:firstRow="1" w:lastColumn="0" w:lastRow="0" w:noHBand="0" w:noVBand="1" w:val="04A0"/>
        <w:tblInd w:w="120" w:type="dxa"/>
      </w:tblPr>
      <w:tblGrid>
        <w:gridCol w:w="9994"/>
      </w:tblGrid>
      <w:tr>
        <w:tc>
          <w:tcPr>
            <w:tcW w:type="dxa" w:w="9994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FFFFFF"/>
          </w:tcPr>
          <w:p>
            <w:r>
              <w:rPr>
                <w:rFonts w:ascii="Aptos" w:hAnsi="Aptos"/>
                <w:b/>
                <w:i w:val="0"/>
                <w:color w:val="071B33"/>
                <w:sz w:val="21"/>
              </w:rPr>
              <w:t>Evidence boundary</w:t>
            </w:r>
          </w:p>
          <w:p>
            <w:r>
              <w:rPr>
                <w:rFonts w:ascii="Aptos" w:hAnsi="Aptos"/>
                <w:b w:val="0"/>
                <w:i w:val="0"/>
                <w:color w:val="526173"/>
                <w:sz w:val="17"/>
              </w:rPr>
              <w:t>State what the source supports, what remains pending, and which claims must not be made without additional evidence.</w:t>
            </w:r>
          </w:p>
        </w:tc>
      </w:tr>
    </w:tbl>
    <w:p>
      <w:pPr>
        <w:spacing w:before="0" w:after="120" w:line="259" w:lineRule="auto"/>
      </w:pPr>
    </w:p>
    <w:p>
      <w:pPr>
        <w:spacing w:before="320" w:after="140" w:line="259" w:lineRule="auto"/>
      </w:pPr>
      <w:r>
        <w:rPr>
          <w:rFonts w:ascii="Aptos" w:hAnsi="Aptos"/>
          <w:b/>
          <w:i w:val="0"/>
          <w:color w:val="071B33"/>
          <w:sz w:val="36"/>
        </w:rPr>
        <w:t>Executive Summary</w:t>
      </w:r>
    </w:p>
    <w:p>
      <w:pPr>
        <w:spacing w:before="0" w:after="120" w:line="259" w:lineRule="auto"/>
      </w:pPr>
      <w:r>
        <w:rPr>
          <w:rFonts w:ascii="Aptos" w:hAnsi="Aptos"/>
          <w:b w:val="0"/>
          <w:i w:val="0"/>
          <w:color w:val="071B33"/>
          <w:sz w:val="21"/>
        </w:rPr>
        <w:t>[Summarize the reporting period, source basis, currency, and management-level interpretation of confirmed financial figures.]</w:t>
      </w:r>
    </w:p>
    <w:p>
      <w:pPr>
        <w:spacing w:before="320" w:after="140" w:line="259" w:lineRule="auto"/>
      </w:pPr>
      <w:r>
        <w:rPr>
          <w:rFonts w:ascii="Aptos" w:hAnsi="Aptos"/>
          <w:b/>
          <w:i w:val="0"/>
          <w:color w:val="071B33"/>
          <w:sz w:val="36"/>
        </w:rPr>
        <w:t>Company Overview</w:t>
      </w:r>
    </w:p>
    <w:tbl>
      <w:tblPr>
        <w:tblW w:type="dxa" w:w="9000"/>
        <w:jc w:val="center"/>
        <w:tblLook w:firstColumn="1" w:firstRow="1" w:lastColumn="0" w:lastRow="0" w:noHBand="0" w:noVBand="1" w:val="04A0"/>
        <w:tblInd w:w="120" w:type="dxa"/>
      </w:tblPr>
      <w:tblGrid>
        <w:gridCol w:w="4997"/>
        <w:gridCol w:w="4997"/>
      </w:tblGrid>
      <w:tr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071B3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54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071B3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Entry</w:t>
            </w:r>
          </w:p>
        </w:tc>
      </w:tr>
      <w:tr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EAF2FF"/>
          </w:tcPr>
          <w:p>
            <w:r>
              <w:rPr>
                <w:rFonts w:ascii="Aptos" w:hAnsi="Aptos"/>
                <w:b/>
                <w:i w:val="0"/>
                <w:color w:val="071B33"/>
                <w:sz w:val="18"/>
              </w:rPr>
              <w:t>Company</w:t>
            </w:r>
          </w:p>
        </w:tc>
        <w:tc>
          <w:tcPr>
            <w:tcW w:type="dxa" w:w="54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FFFFFF"/>
          </w:tcPr>
          <w:p>
            <w:r>
              <w:rPr>
                <w:rFonts w:ascii="Aptos" w:hAnsi="Aptos"/>
                <w:b w:val="0"/>
                <w:i w:val="0"/>
                <w:color w:val="071B33"/>
                <w:sz w:val="18"/>
              </w:rPr>
              <w:t>BreastScreening-AI</w:t>
            </w:r>
          </w:p>
        </w:tc>
      </w:tr>
      <w:tr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EAF2FF"/>
          </w:tcPr>
          <w:p>
            <w:r>
              <w:rPr>
                <w:rFonts w:ascii="Aptos" w:hAnsi="Aptos"/>
                <w:b/>
                <w:i w:val="0"/>
                <w:color w:val="071B33"/>
                <w:sz w:val="18"/>
              </w:rPr>
              <w:t>Reporting period</w:t>
            </w:r>
          </w:p>
        </w:tc>
        <w:tc>
          <w:tcPr>
            <w:tcW w:type="dxa" w:w="54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FFFFFF"/>
          </w:tcPr>
          <w:p>
            <w:r>
              <w:rPr>
                <w:rFonts w:ascii="Aptos" w:hAnsi="Aptos"/>
                <w:b w:val="0"/>
                <w:i w:val="0"/>
                <w:color w:val="071B33"/>
                <w:sz w:val="18"/>
              </w:rPr>
              <w:t>[Fiscal year or interim period]</w:t>
            </w:r>
          </w:p>
        </w:tc>
      </w:tr>
      <w:tr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EAF2FF"/>
          </w:tcPr>
          <w:p>
            <w:r>
              <w:rPr>
                <w:rFonts w:ascii="Aptos" w:hAnsi="Aptos"/>
                <w:b/>
                <w:i w:val="0"/>
                <w:color w:val="071B33"/>
                <w:sz w:val="18"/>
              </w:rPr>
              <w:t>Publication date</w:t>
            </w:r>
          </w:p>
        </w:tc>
        <w:tc>
          <w:tcPr>
            <w:tcW w:type="dxa" w:w="54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FFFFFF"/>
          </w:tcPr>
          <w:p>
            <w:r>
              <w:rPr>
                <w:rFonts w:ascii="Aptos" w:hAnsi="Aptos"/>
                <w:b w:val="0"/>
                <w:i w:val="0"/>
                <w:color w:val="071B33"/>
                <w:sz w:val="18"/>
              </w:rPr>
              <w:t>[Date]</w:t>
            </w:r>
          </w:p>
        </w:tc>
      </w:tr>
      <w:tr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EAF2FF"/>
          </w:tcPr>
          <w:p>
            <w:r>
              <w:rPr>
                <w:rFonts w:ascii="Aptos" w:hAnsi="Aptos"/>
                <w:b/>
                <w:i w:val="0"/>
                <w:color w:val="071B33"/>
                <w:sz w:val="18"/>
              </w:rPr>
              <w:t>Source basis</w:t>
            </w:r>
          </w:p>
        </w:tc>
        <w:tc>
          <w:tcPr>
            <w:tcW w:type="dxa" w:w="54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FFFFFF"/>
          </w:tcPr>
          <w:p>
            <w:r>
              <w:rPr>
                <w:rFonts w:ascii="Aptos" w:hAnsi="Aptos"/>
                <w:b w:val="0"/>
                <w:i w:val="0"/>
                <w:color w:val="071B33"/>
                <w:sz w:val="18"/>
              </w:rPr>
              <w:t>[Signed accounting records / board-approved files / grant records]</w:t>
            </w:r>
          </w:p>
        </w:tc>
      </w:tr>
    </w:tbl>
    <w:p>
      <w:pPr>
        <w:spacing w:before="0" w:after="80" w:line="259" w:lineRule="auto"/>
      </w:pPr>
    </w:p>
    <w:p>
      <w:pPr>
        <w:spacing w:before="320" w:after="140" w:line="259" w:lineRule="auto"/>
      </w:pPr>
      <w:r>
        <w:rPr>
          <w:rFonts w:ascii="Aptos" w:hAnsi="Aptos"/>
          <w:b/>
          <w:i w:val="0"/>
          <w:color w:val="071B33"/>
          <w:sz w:val="36"/>
        </w:rPr>
        <w:t>Financial Performance</w:t>
      </w:r>
    </w:p>
    <w:tbl>
      <w:tblPr>
        <w:tblW w:type="dxa" w:w="9000"/>
        <w:jc w:val="center"/>
        <w:tblLook w:firstColumn="1" w:firstRow="1" w:lastColumn="0" w:lastRow="0" w:noHBand="0" w:noVBand="1" w:val="04A0"/>
        <w:tblInd w:w="120" w:type="dxa"/>
      </w:tblPr>
      <w:tblGrid>
        <w:gridCol w:w="4997"/>
        <w:gridCol w:w="4997"/>
      </w:tblGrid>
      <w:tr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071B3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Line item</w:t>
            </w:r>
          </w:p>
        </w:tc>
        <w:tc>
          <w:tcPr>
            <w:tcW w:type="dxa" w:w="54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071B3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Current period</w:t>
            </w:r>
          </w:p>
        </w:tc>
      </w:tr>
      <w:tr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EAF2FF"/>
          </w:tcPr>
          <w:p>
            <w:r>
              <w:rPr>
                <w:rFonts w:ascii="Aptos" w:hAnsi="Aptos"/>
                <w:b/>
                <w:i w:val="0"/>
                <w:color w:val="071B33"/>
                <w:sz w:val="18"/>
              </w:rPr>
              <w:t>Sales and services</w:t>
            </w:r>
          </w:p>
        </w:tc>
        <w:tc>
          <w:tcPr>
            <w:tcW w:type="dxa" w:w="54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FFFFFF"/>
          </w:tcPr>
          <w:p>
            <w:r>
              <w:rPr>
                <w:rFonts w:ascii="Aptos" w:hAnsi="Aptos"/>
                <w:b w:val="0"/>
                <w:i w:val="0"/>
                <w:color w:val="071B33"/>
                <w:sz w:val="18"/>
              </w:rPr>
              <w:t>[EUR]</w:t>
            </w:r>
          </w:p>
        </w:tc>
      </w:tr>
      <w:tr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EAF2FF"/>
          </w:tcPr>
          <w:p>
            <w:r>
              <w:rPr>
                <w:rFonts w:ascii="Aptos" w:hAnsi="Aptos"/>
                <w:b/>
                <w:i w:val="0"/>
                <w:color w:val="071B33"/>
                <w:sz w:val="18"/>
              </w:rPr>
              <w:t>Grants and subsidies</w:t>
            </w:r>
          </w:p>
        </w:tc>
        <w:tc>
          <w:tcPr>
            <w:tcW w:type="dxa" w:w="54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FFFFFF"/>
          </w:tcPr>
          <w:p>
            <w:r>
              <w:rPr>
                <w:rFonts w:ascii="Aptos" w:hAnsi="Aptos"/>
                <w:b w:val="0"/>
                <w:i w:val="0"/>
                <w:color w:val="071B33"/>
                <w:sz w:val="18"/>
              </w:rPr>
              <w:t>[EUR]</w:t>
            </w:r>
          </w:p>
        </w:tc>
      </w:tr>
      <w:tr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EAF2FF"/>
          </w:tcPr>
          <w:p>
            <w:r>
              <w:rPr>
                <w:rFonts w:ascii="Aptos" w:hAnsi="Aptos"/>
                <w:b/>
                <w:i w:val="0"/>
                <w:color w:val="071B33"/>
                <w:sz w:val="18"/>
              </w:rPr>
              <w:t>External services</w:t>
            </w:r>
          </w:p>
        </w:tc>
        <w:tc>
          <w:tcPr>
            <w:tcW w:type="dxa" w:w="54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FFFFFF"/>
          </w:tcPr>
          <w:p>
            <w:r>
              <w:rPr>
                <w:rFonts w:ascii="Aptos" w:hAnsi="Aptos"/>
                <w:b w:val="0"/>
                <w:i w:val="0"/>
                <w:color w:val="071B33"/>
                <w:sz w:val="18"/>
              </w:rPr>
              <w:t>[EUR]</w:t>
            </w:r>
          </w:p>
        </w:tc>
      </w:tr>
      <w:tr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EAF2FF"/>
          </w:tcPr>
          <w:p>
            <w:r>
              <w:rPr>
                <w:rFonts w:ascii="Aptos" w:hAnsi="Aptos"/>
                <w:b/>
                <w:i w:val="0"/>
                <w:color w:val="071B33"/>
                <w:sz w:val="18"/>
              </w:rPr>
              <w:t>Personnel expenses</w:t>
            </w:r>
          </w:p>
        </w:tc>
        <w:tc>
          <w:tcPr>
            <w:tcW w:type="dxa" w:w="54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FFFFFF"/>
          </w:tcPr>
          <w:p>
            <w:r>
              <w:rPr>
                <w:rFonts w:ascii="Aptos" w:hAnsi="Aptos"/>
                <w:b w:val="0"/>
                <w:i w:val="0"/>
                <w:color w:val="071B33"/>
                <w:sz w:val="18"/>
              </w:rPr>
              <w:t>[EUR]</w:t>
            </w:r>
          </w:p>
        </w:tc>
      </w:tr>
      <w:tr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EAF2FF"/>
          </w:tcPr>
          <w:p>
            <w:r>
              <w:rPr>
                <w:rFonts w:ascii="Aptos" w:hAnsi="Aptos"/>
                <w:b/>
                <w:i w:val="0"/>
                <w:color w:val="071B33"/>
                <w:sz w:val="18"/>
              </w:rPr>
              <w:t>Net result</w:t>
            </w:r>
          </w:p>
        </w:tc>
        <w:tc>
          <w:tcPr>
            <w:tcW w:type="dxa" w:w="54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FFFFFF"/>
          </w:tcPr>
          <w:p>
            <w:r>
              <w:rPr>
                <w:rFonts w:ascii="Aptos" w:hAnsi="Aptos"/>
                <w:b w:val="0"/>
                <w:i w:val="0"/>
                <w:color w:val="071B33"/>
                <w:sz w:val="18"/>
              </w:rPr>
              <w:t>[EUR]</w:t>
            </w:r>
          </w:p>
        </w:tc>
      </w:tr>
    </w:tbl>
    <w:p>
      <w:pPr>
        <w:spacing w:before="0" w:after="80" w:line="259" w:lineRule="auto"/>
      </w:pPr>
    </w:p>
    <w:p>
      <w:pPr>
        <w:spacing w:before="320" w:after="140" w:line="259" w:lineRule="auto"/>
      </w:pPr>
      <w:r>
        <w:rPr>
          <w:rFonts w:ascii="Aptos" w:hAnsi="Aptos"/>
          <w:b/>
          <w:i w:val="0"/>
          <w:color w:val="071B33"/>
          <w:sz w:val="36"/>
        </w:rPr>
        <w:t>Statement of Financial Position</w:t>
      </w:r>
    </w:p>
    <w:tbl>
      <w:tblPr>
        <w:tblW w:type="dxa" w:w="9000"/>
        <w:jc w:val="center"/>
        <w:tblLook w:firstColumn="1" w:firstRow="1" w:lastColumn="0" w:lastRow="0" w:noHBand="0" w:noVBand="1" w:val="04A0"/>
        <w:tblInd w:w="120" w:type="dxa"/>
      </w:tblPr>
      <w:tblGrid>
        <w:gridCol w:w="4997"/>
        <w:gridCol w:w="4997"/>
      </w:tblGrid>
      <w:tr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071B3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Metric</w:t>
            </w:r>
          </w:p>
        </w:tc>
        <w:tc>
          <w:tcPr>
            <w:tcW w:type="dxa" w:w="54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071B3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EAF2FF"/>
          </w:tcPr>
          <w:p>
            <w:r>
              <w:rPr>
                <w:rFonts w:ascii="Aptos" w:hAnsi="Aptos"/>
                <w:b/>
                <w:i w:val="0"/>
                <w:color w:val="071B33"/>
                <w:sz w:val="18"/>
              </w:rPr>
              <w:t>Total assets</w:t>
            </w:r>
          </w:p>
        </w:tc>
        <w:tc>
          <w:tcPr>
            <w:tcW w:type="dxa" w:w="54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FFFFFF"/>
          </w:tcPr>
          <w:p>
            <w:r>
              <w:rPr>
                <w:rFonts w:ascii="Aptos" w:hAnsi="Aptos"/>
                <w:b w:val="0"/>
                <w:i w:val="0"/>
                <w:color w:val="071B33"/>
                <w:sz w:val="18"/>
              </w:rPr>
              <w:t>[EUR]</w:t>
            </w:r>
          </w:p>
        </w:tc>
      </w:tr>
      <w:tr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EAF2FF"/>
          </w:tcPr>
          <w:p>
            <w:r>
              <w:rPr>
                <w:rFonts w:ascii="Aptos" w:hAnsi="Aptos"/>
                <w:b/>
                <w:i w:val="0"/>
                <w:color w:val="071B33"/>
                <w:sz w:val="18"/>
              </w:rPr>
              <w:t>Cash and deposits</w:t>
            </w:r>
          </w:p>
        </w:tc>
        <w:tc>
          <w:tcPr>
            <w:tcW w:type="dxa" w:w="54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FFFFFF"/>
          </w:tcPr>
          <w:p>
            <w:r>
              <w:rPr>
                <w:rFonts w:ascii="Aptos" w:hAnsi="Aptos"/>
                <w:b w:val="0"/>
                <w:i w:val="0"/>
                <w:color w:val="071B33"/>
                <w:sz w:val="18"/>
              </w:rPr>
              <w:t>[EUR]</w:t>
            </w:r>
          </w:p>
        </w:tc>
      </w:tr>
      <w:tr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EAF2FF"/>
          </w:tcPr>
          <w:p>
            <w:r>
              <w:rPr>
                <w:rFonts w:ascii="Aptos" w:hAnsi="Aptos"/>
                <w:b/>
                <w:i w:val="0"/>
                <w:color w:val="071B33"/>
                <w:sz w:val="18"/>
              </w:rPr>
              <w:t>Equity</w:t>
            </w:r>
          </w:p>
        </w:tc>
        <w:tc>
          <w:tcPr>
            <w:tcW w:type="dxa" w:w="54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FFFFFF"/>
          </w:tcPr>
          <w:p>
            <w:r>
              <w:rPr>
                <w:rFonts w:ascii="Aptos" w:hAnsi="Aptos"/>
                <w:b w:val="0"/>
                <w:i w:val="0"/>
                <w:color w:val="071B33"/>
                <w:sz w:val="18"/>
              </w:rPr>
              <w:t>[EUR]</w:t>
            </w:r>
          </w:p>
        </w:tc>
      </w:tr>
      <w:tr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EAF2FF"/>
          </w:tcPr>
          <w:p>
            <w:r>
              <w:rPr>
                <w:rFonts w:ascii="Aptos" w:hAnsi="Aptos"/>
                <w:b/>
                <w:i w:val="0"/>
                <w:color w:val="071B33"/>
                <w:sz w:val="18"/>
              </w:rPr>
              <w:t>Liabilities</w:t>
            </w:r>
          </w:p>
        </w:tc>
        <w:tc>
          <w:tcPr>
            <w:tcW w:type="dxa" w:w="54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FFFFFF"/>
          </w:tcPr>
          <w:p>
            <w:r>
              <w:rPr>
                <w:rFonts w:ascii="Aptos" w:hAnsi="Aptos"/>
                <w:b w:val="0"/>
                <w:i w:val="0"/>
                <w:color w:val="071B33"/>
                <w:sz w:val="18"/>
              </w:rPr>
              <w:t>[EUR]</w:t>
            </w:r>
          </w:p>
        </w:tc>
      </w:tr>
    </w:tbl>
    <w:p>
      <w:pPr>
        <w:spacing w:before="0" w:after="80" w:line="259" w:lineRule="auto"/>
      </w:pPr>
    </w:p>
    <w:p>
      <w:pPr>
        <w:spacing w:before="320" w:after="140" w:line="259" w:lineRule="auto"/>
      </w:pPr>
      <w:r>
        <w:rPr>
          <w:rFonts w:ascii="Aptos" w:hAnsi="Aptos"/>
          <w:b/>
          <w:i w:val="0"/>
          <w:color w:val="071B33"/>
          <w:sz w:val="36"/>
        </w:rPr>
        <w:t>Risks, Missing Information, and Outlook</w:t>
      </w:r>
    </w:p>
    <w:p>
      <w:pPr>
        <w:spacing w:before="0" w:after="120" w:line="259" w:lineRule="auto"/>
      </w:pPr>
      <w:r>
        <w:rPr>
          <w:rFonts w:ascii="Aptos" w:hAnsi="Aptos"/>
          <w:b w:val="0"/>
          <w:i w:val="0"/>
          <w:color w:val="071B33"/>
          <w:sz w:val="21"/>
        </w:rPr>
        <w:t>[Identify working-capital exposure, missing audit or cash-flow information, reliance on grants, and only source-backed priorities.]</w:t>
      </w:r>
    </w:p>
    <w:p>
      <w:r>
        <w:br w:type="page"/>
      </w:r>
    </w:p>
    <w:p>
      <w:pPr>
        <w:spacing w:before="320" w:after="140" w:line="259" w:lineRule="auto"/>
      </w:pPr>
      <w:r>
        <w:rPr>
          <w:rFonts w:ascii="Aptos" w:hAnsi="Aptos"/>
          <w:b/>
          <w:i w:val="0"/>
          <w:color w:val="071B33"/>
          <w:sz w:val="36"/>
        </w:rPr>
        <w:t>Source Basis and Missing Information</w:t>
      </w:r>
    </w:p>
    <w:tbl>
      <w:tblPr>
        <w:tblW w:type="dxa" w:w="9000"/>
        <w:jc w:val="center"/>
        <w:tblLook w:firstColumn="1" w:firstRow="1" w:lastColumn="0" w:lastRow="0" w:noHBand="0" w:noVBand="1" w:val="04A0"/>
        <w:tblInd w:w="120" w:type="dxa"/>
      </w:tblPr>
      <w:tblGrid>
        <w:gridCol w:w="4997"/>
        <w:gridCol w:w="4997"/>
      </w:tblGrid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071B3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Category</w:t>
            </w:r>
          </w:p>
        </w:tc>
        <w:tc>
          <w:tcPr>
            <w:tcW w:type="dxa" w:w="60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071B3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EAF2FF"/>
          </w:tcPr>
          <w:p>
            <w:r>
              <w:rPr>
                <w:rFonts w:ascii="Aptos" w:hAnsi="Aptos"/>
                <w:b/>
                <w:i w:val="0"/>
                <w:color w:val="071B33"/>
                <w:sz w:val="18"/>
              </w:rPr>
              <w:t>Supported source categories</w:t>
            </w:r>
          </w:p>
        </w:tc>
        <w:tc>
          <w:tcPr>
            <w:tcW w:type="dxa" w:w="60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FFFFFF"/>
          </w:tcPr>
          <w:p>
            <w:r>
              <w:rPr>
                <w:rFonts w:ascii="Aptos" w:hAnsi="Aptos"/>
                <w:b w:val="0"/>
                <w:i w:val="0"/>
                <w:color w:val="071B33"/>
                <w:sz w:val="18"/>
              </w:rPr>
              <w:t>Signed accounting records; board-approved materials; grant or program records; other source-backed files.</w:t>
            </w:r>
          </w:p>
        </w:tc>
      </w:tr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EAF2FF"/>
          </w:tcPr>
          <w:p>
            <w:r>
              <w:rPr>
                <w:rFonts w:ascii="Aptos" w:hAnsi="Aptos"/>
                <w:b/>
                <w:i w:val="0"/>
                <w:color w:val="071B33"/>
                <w:sz w:val="18"/>
              </w:rPr>
              <w:t>Not established by default</w:t>
            </w:r>
          </w:p>
        </w:tc>
        <w:tc>
          <w:tcPr>
            <w:tcW w:type="dxa" w:w="60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FFFFFF"/>
          </w:tcPr>
          <w:p>
            <w:r>
              <w:rPr>
                <w:rFonts w:ascii="Aptos" w:hAnsi="Aptos"/>
                <w:b w:val="0"/>
                <w:i w:val="0"/>
                <w:color w:val="071B33"/>
                <w:sz w:val="18"/>
              </w:rPr>
              <w:t>Audit opinion; cash-flow statement; customer contracts; regulatory status; valuation.</w:t>
            </w:r>
          </w:p>
        </w:tc>
      </w:tr>
    </w:tbl>
    <w:p>
      <w:pPr>
        <w:spacing w:before="0" w:after="80" w:line="259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b w:val="0"/>
        <w:i w:val="0"/>
        <w:color w:val="526173"/>
        <w:sz w:val="15"/>
      </w:rPr>
      <w:t>Template structure - replace placeholders with source-backed information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526173"/>
        <w:sz w:val="16"/>
      </w:rPr>
      <w:t>BreastScreening-AI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71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BreastScreening-AI Annual Financial Statements Word Template</dc:title>
  <dc:subject>Investor relations template</dc:subject>
  <dc:creator>BreastScreening-AI</dc:creator>
  <cp:keywords>BreastScreening-AI, investor relations, reports, template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