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9" w:lineRule="auto"/>
      </w:pPr>
      <w:r>
        <w:rPr>
          <w:rFonts w:ascii="Aptos" w:hAnsi="Aptos"/>
          <w:b/>
          <w:i w:val="0"/>
          <w:color w:val="071B33"/>
          <w:sz w:val="20"/>
        </w:rPr>
        <w:t>BreastScreening-AI</w:t>
      </w:r>
    </w:p>
    <w:tbl>
      <w:tblPr>
        <w:tblW w:type="dxa" w:w="1440"/>
        <w:jc w:val="left"/>
        <w:tblLook w:firstColumn="1" w:firstRow="1" w:lastColumn="0" w:lastRow="0" w:noHBand="0" w:noVBand="1" w:val="04A0"/>
        <w:tblInd w:w="0" w:type="dxa"/>
      </w:tblPr>
      <w:tblGrid>
        <w:gridCol w:w="9994"/>
      </w:tblGrid>
      <w:tr>
        <w:tc>
          <w:tcPr>
            <w:tcW w:type="dxa" w:w="9994"/>
            <w:shd w:fill="1264FF"/>
            <w:tcBorders>
              <w:top w:val="single" w:sz="0" w:space="0" w:color="1264FF"/>
              <w:left w:val="single" w:sz="0" w:space="0" w:color="1264FF"/>
              <w:bottom w:val="single" w:sz="0" w:space="0" w:color="1264FF"/>
              <w:right w:val="single" w:sz="0" w:space="0" w:color="1264FF"/>
            </w:tcBorders>
          </w:tcPr>
          <w:p>
            <w:pPr>
              <w:spacing w:after="0"/>
            </w:pPr>
            <w:r/>
          </w:p>
        </w:tc>
      </w:tr>
    </w:tbl>
    <w:p>
      <w:pPr>
        <w:spacing w:before="480" w:after="80" w:line="259" w:lineRule="auto"/>
      </w:pPr>
      <w:r>
        <w:rPr>
          <w:rFonts w:ascii="Aptos" w:hAnsi="Aptos"/>
          <w:b/>
          <w:i w:val="0"/>
          <w:color w:val="12A875"/>
          <w:sz w:val="18"/>
        </w:rPr>
        <w:t>IR LETTER TEMPLATE</w:t>
      </w:r>
    </w:p>
    <w:p>
      <w:pPr>
        <w:spacing w:before="0" w:after="160" w:line="259" w:lineRule="auto"/>
      </w:pPr>
      <w:r>
        <w:rPr>
          <w:rFonts w:ascii="Aptos" w:hAnsi="Aptos"/>
          <w:b/>
          <w:i w:val="0"/>
          <w:color w:val="071B33"/>
          <w:sz w:val="52"/>
        </w:rPr>
        <w:t>Investor Relations Letter</w:t>
      </w:r>
    </w:p>
    <w:p>
      <w:pPr>
        <w:spacing w:before="0" w:after="360" w:line="259" w:lineRule="auto"/>
      </w:pPr>
      <w:r>
        <w:rPr>
          <w:rFonts w:ascii="Aptos" w:hAnsi="Aptos"/>
          <w:b w:val="0"/>
          <w:i w:val="0"/>
          <w:color w:val="526173"/>
          <w:sz w:val="23"/>
        </w:rPr>
        <w:t>Word-first founder-style communication for a reporting period, written with transparent evidence boundaries.</w:t>
      </w:r>
    </w:p>
    <w:tbl>
      <w:tblPr>
        <w:tblW w:type="dxa" w:w="9000"/>
        <w:jc w:val="center"/>
        <w:tblLook w:firstColumn="1" w:firstRow="1" w:lastColumn="0" w:lastRow="0" w:noHBand="0" w:noVBand="1" w:val="04A0"/>
        <w:tblInd w:w="120" w:type="dxa"/>
      </w:tblPr>
      <w:tblGrid>
        <w:gridCol w:w="3331"/>
        <w:gridCol w:w="3331"/>
        <w:gridCol w:w="3331"/>
      </w:tblGrid>
      <w:tr>
        <w:tc>
          <w:tcPr>
            <w:tcW w:type="dxa" w:w="3000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space="0" w:color="CFE0F5"/>
              <w:left w:val="single" w:sz="8" w:space="0" w:color="CFE0F5"/>
              <w:bottom w:val="single" w:sz="8" w:space="0" w:color="CFE0F5"/>
              <w:right w:val="single" w:sz="8" w:space="0" w:color="CFE0F5"/>
            </w:tcBorders>
            <w:shd w:fill="EAF2FF"/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071B33"/>
                <w:sz w:val="22"/>
              </w:rPr>
              <w:t>[Metric 1]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526173"/>
                <w:sz w:val="15"/>
              </w:rPr>
              <w:t>Replace with source-backed figure</w:t>
            </w:r>
          </w:p>
        </w:tc>
        <w:tc>
          <w:tcPr>
            <w:tcW w:type="dxa" w:w="3000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space="0" w:color="CFE0F5"/>
              <w:left w:val="single" w:sz="8" w:space="0" w:color="CFE0F5"/>
              <w:bottom w:val="single" w:sz="8" w:space="0" w:color="CFE0F5"/>
              <w:right w:val="single" w:sz="8" w:space="0" w:color="CFE0F5"/>
            </w:tcBorders>
            <w:shd w:fill="EAF2FF"/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071B33"/>
                <w:sz w:val="22"/>
              </w:rPr>
              <w:t>[Metric 2]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526173"/>
                <w:sz w:val="15"/>
              </w:rPr>
              <w:t>Replace with source-backed figure</w:t>
            </w:r>
          </w:p>
        </w:tc>
        <w:tc>
          <w:tcPr>
            <w:tcW w:type="dxa" w:w="3000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top w:val="single" w:sz="8" w:space="0" w:color="CFE0F5"/>
              <w:left w:val="single" w:sz="8" w:space="0" w:color="CFE0F5"/>
              <w:bottom w:val="single" w:sz="8" w:space="0" w:color="CFE0F5"/>
              <w:right w:val="single" w:sz="8" w:space="0" w:color="CFE0F5"/>
            </w:tcBorders>
            <w:shd w:fill="EAF2FF"/>
            <w:vAlign w:val="center"/>
          </w:tcPr>
          <w:p>
            <w:pPr>
              <w:spacing w:after="20"/>
            </w:pPr>
            <w:r>
              <w:rPr>
                <w:rFonts w:ascii="Aptos" w:hAnsi="Aptos"/>
                <w:b/>
                <w:i w:val="0"/>
                <w:color w:val="071B33"/>
                <w:sz w:val="22"/>
              </w:rPr>
              <w:t>[Metric 3]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526173"/>
                <w:sz w:val="15"/>
              </w:rPr>
              <w:t>Replace with source-backed figure</w:t>
            </w:r>
          </w:p>
        </w:tc>
      </w:tr>
    </w:tbl>
    <w:p>
      <w:pPr>
        <w:spacing w:before="0" w:after="120" w:line="259" w:lineRule="auto"/>
      </w:pPr>
    </w:p>
    <w:tbl>
      <w:tblPr>
        <w:tblW w:type="dxa" w:w="9000"/>
        <w:tblLook w:firstColumn="1" w:firstRow="1" w:lastColumn="0" w:lastRow="0" w:noHBand="0" w:noVBand="1" w:val="04A0"/>
        <w:tblInd w:w="120" w:type="dxa"/>
      </w:tblPr>
      <w:tblGrid>
        <w:gridCol w:w="9994"/>
      </w:tblGrid>
      <w:tr>
        <w:tc>
          <w:tcPr>
            <w:tcW w:type="dxa" w:w="9994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FFFFFF"/>
          </w:tcPr>
          <w:p>
            <w:r>
              <w:rPr>
                <w:rFonts w:ascii="Aptos" w:hAnsi="Aptos"/>
                <w:b/>
                <w:i w:val="0"/>
                <w:color w:val="071B33"/>
                <w:sz w:val="21"/>
              </w:rPr>
              <w:t>Evidence boundary</w:t>
            </w:r>
          </w:p>
          <w:p>
            <w:r>
              <w:rPr>
                <w:rFonts w:ascii="Aptos" w:hAnsi="Aptos"/>
                <w:b w:val="0"/>
                <w:i w:val="0"/>
                <w:color w:val="526173"/>
                <w:sz w:val="17"/>
              </w:rPr>
              <w:t>State what the source supports, what remains pending, and which claims must not be made without additional evidence.</w:t>
            </w:r>
          </w:p>
        </w:tc>
      </w:tr>
    </w:tbl>
    <w:p>
      <w:pPr>
        <w:spacing w:before="0" w:after="120" w:line="259" w:lineRule="auto"/>
      </w:pPr>
    </w:p>
    <w:p>
      <w:pPr>
        <w:spacing w:before="320" w:after="140" w:line="259" w:lineRule="auto"/>
      </w:pPr>
      <w:r>
        <w:rPr>
          <w:rFonts w:ascii="Aptos" w:hAnsi="Aptos"/>
          <w:b/>
          <w:i w:val="0"/>
          <w:color w:val="071B33"/>
          <w:sz w:val="36"/>
        </w:rPr>
        <w:t>Opening Message</w:t>
      </w:r>
    </w:p>
    <w:p>
      <w:pPr>
        <w:spacing w:before="0" w:after="120" w:line="259" w:lineRule="auto"/>
      </w:pPr>
      <w:r>
        <w:rPr>
          <w:rFonts w:ascii="Aptos" w:hAnsi="Aptos"/>
          <w:b w:val="0"/>
          <w:i w:val="0"/>
          <w:color w:val="071B33"/>
          <w:sz w:val="21"/>
        </w:rPr>
        <w:t>[Write a concise founder-style opening that states the reporting period, overall context, and reader promise.]</w:t>
      </w:r>
    </w:p>
    <w:p>
      <w:pPr>
        <w:spacing w:before="320" w:after="140" w:line="259" w:lineRule="auto"/>
      </w:pPr>
      <w:r>
        <w:rPr>
          <w:rFonts w:ascii="Aptos" w:hAnsi="Aptos"/>
          <w:b/>
          <w:i w:val="0"/>
          <w:color w:val="071B33"/>
          <w:sz w:val="36"/>
        </w:rPr>
        <w:t>What Occurred</w:t>
      </w:r>
    </w:p>
    <w:p>
      <w:pPr>
        <w:spacing w:before="0" w:after="120" w:line="259" w:lineRule="auto"/>
      </w:pPr>
      <w:r>
        <w:rPr>
          <w:rFonts w:ascii="Aptos" w:hAnsi="Aptos"/>
          <w:b w:val="0"/>
          <w:i w:val="0"/>
          <w:color w:val="071B33"/>
          <w:sz w:val="21"/>
        </w:rPr>
        <w:t>[Summarize supported financial, operational, and strategic events for the period.]</w:t>
      </w:r>
    </w:p>
    <w:p>
      <w:pPr>
        <w:spacing w:before="320" w:after="140" w:line="259" w:lineRule="auto"/>
      </w:pPr>
      <w:r>
        <w:rPr>
          <w:rFonts w:ascii="Aptos" w:hAnsi="Aptos"/>
          <w:b/>
          <w:i w:val="0"/>
          <w:color w:val="071B33"/>
          <w:sz w:val="36"/>
        </w:rPr>
        <w:t>Why It Matters</w:t>
      </w:r>
    </w:p>
    <w:p>
      <w:pPr>
        <w:spacing w:before="0" w:after="120" w:line="259" w:lineRule="auto"/>
      </w:pPr>
      <w:r>
        <w:rPr>
          <w:rFonts w:ascii="Aptos" w:hAnsi="Aptos"/>
          <w:b w:val="0"/>
          <w:i w:val="0"/>
          <w:color w:val="071B33"/>
          <w:sz w:val="21"/>
        </w:rPr>
        <w:t>[Explain investor relevance without overstating commercial, clinical, or regulatory maturity.]</w:t>
      </w:r>
    </w:p>
    <w:p>
      <w:pPr>
        <w:spacing w:before="320" w:after="140" w:line="259" w:lineRule="auto"/>
      </w:pPr>
      <w:r>
        <w:rPr>
          <w:rFonts w:ascii="Aptos" w:hAnsi="Aptos"/>
          <w:b/>
          <w:i w:val="0"/>
          <w:color w:val="071B33"/>
          <w:sz w:val="36"/>
        </w:rPr>
        <w:t>Challenges and Management Response</w:t>
      </w:r>
    </w:p>
    <w:p>
      <w:pPr>
        <w:spacing w:before="0" w:after="120" w:line="259" w:lineRule="auto"/>
      </w:pPr>
      <w:r>
        <w:rPr>
          <w:rFonts w:ascii="Aptos" w:hAnsi="Aptos"/>
          <w:b w:val="0"/>
          <w:i w:val="0"/>
          <w:color w:val="071B33"/>
          <w:sz w:val="21"/>
        </w:rPr>
        <w:t>[Discuss working capital, revenue maturity, funding dependency, missing evidence, and management response.]</w:t>
      </w:r>
    </w:p>
    <w:p>
      <w:pPr>
        <w:spacing w:before="320" w:after="140" w:line="259" w:lineRule="auto"/>
      </w:pPr>
      <w:r>
        <w:rPr>
          <w:rFonts w:ascii="Aptos" w:hAnsi="Aptos"/>
          <w:b/>
          <w:i w:val="0"/>
          <w:color w:val="071B33"/>
          <w:sz w:val="36"/>
        </w:rPr>
        <w:t>Priorities Ahead</w:t>
      </w:r>
    </w:p>
    <w:p>
      <w:pPr>
        <w:spacing w:before="0" w:after="120" w:line="259" w:lineRule="auto"/>
      </w:pPr>
      <w:r>
        <w:rPr>
          <w:rFonts w:ascii="Aptos" w:hAnsi="Aptos"/>
          <w:b w:val="0"/>
          <w:i w:val="0"/>
          <w:color w:val="071B33"/>
          <w:sz w:val="21"/>
        </w:rPr>
        <w:t>[State next evidence-backed execution priorities and pending confirmations.]</w:t>
      </w:r>
    </w:p>
    <w:p>
      <w:pPr>
        <w:spacing w:before="320" w:after="140" w:line="259" w:lineRule="auto"/>
      </w:pPr>
      <w:r>
        <w:rPr>
          <w:rFonts w:ascii="Aptos" w:hAnsi="Aptos"/>
          <w:b/>
          <w:i w:val="0"/>
          <w:color w:val="071B33"/>
          <w:sz w:val="36"/>
        </w:rPr>
        <w:t>Disclosure Control</w:t>
      </w:r>
    </w:p>
    <w:tbl>
      <w:tblPr>
        <w:tblW w:type="dxa" w:w="9000"/>
        <w:jc w:val="center"/>
        <w:tblLook w:firstColumn="1" w:firstRow="1" w:lastColumn="0" w:lastRow="0" w:noHBand="0" w:noVBand="1" w:val="04A0"/>
        <w:tblInd w:w="120" w:type="dxa"/>
      </w:tblPr>
      <w:tblGrid>
        <w:gridCol w:w="4997"/>
        <w:gridCol w:w="4997"/>
      </w:tblGrid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071B3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Control</w:t>
            </w:r>
          </w:p>
        </w:tc>
        <w:tc>
          <w:tcPr>
            <w:tcW w:type="dxa" w:w="6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071B33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Instruction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EAF2FF"/>
          </w:tcPr>
          <w:p>
            <w:r>
              <w:rPr>
                <w:rFonts w:ascii="Aptos" w:hAnsi="Aptos"/>
                <w:b/>
                <w:i w:val="0"/>
                <w:color w:val="071B33"/>
                <w:sz w:val="18"/>
              </w:rPr>
              <w:t>Use</w:t>
            </w:r>
          </w:p>
        </w:tc>
        <w:tc>
          <w:tcPr>
            <w:tcW w:type="dxa" w:w="6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FFFFFF"/>
          </w:tcPr>
          <w:p>
            <w:r>
              <w:rPr>
                <w:rFonts w:ascii="Aptos" w:hAnsi="Aptos"/>
                <w:b w:val="0"/>
                <w:i w:val="0"/>
                <w:color w:val="071B33"/>
                <w:sz w:val="18"/>
              </w:rPr>
              <w:t>Transparent communication with source-backed facts and candid limitations.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EAF2FF"/>
          </w:tcPr>
          <w:p>
            <w:r>
              <w:rPr>
                <w:rFonts w:ascii="Aptos" w:hAnsi="Aptos"/>
                <w:b/>
                <w:i w:val="0"/>
                <w:color w:val="071B33"/>
                <w:sz w:val="18"/>
              </w:rPr>
              <w:t>Avoid</w:t>
            </w:r>
          </w:p>
        </w:tc>
        <w:tc>
          <w:tcPr>
            <w:tcW w:type="dxa" w:w="6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FFFFFF"/>
          </w:tcPr>
          <w:p>
            <w:r>
              <w:rPr>
                <w:rFonts w:ascii="Aptos" w:hAnsi="Aptos"/>
                <w:b w:val="0"/>
                <w:i w:val="0"/>
                <w:color w:val="071B33"/>
                <w:sz w:val="18"/>
              </w:rPr>
              <w:t>Unsupported traction, customer, revenue, valuation, or regulatory claims.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EAF2FF"/>
          </w:tcPr>
          <w:p>
            <w:r>
              <w:rPr>
                <w:rFonts w:ascii="Aptos" w:hAnsi="Aptos"/>
                <w:b/>
                <w:i w:val="0"/>
                <w:color w:val="071B33"/>
                <w:sz w:val="18"/>
              </w:rPr>
              <w:t>Review</w:t>
            </w:r>
          </w:p>
        </w:tc>
        <w:tc>
          <w:tcPr>
            <w:tcW w:type="dxa" w:w="680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3F0"/>
              <w:left w:val="single" w:sz="8" w:space="0" w:color="D9E3F0"/>
              <w:bottom w:val="single" w:sz="8" w:space="0" w:color="D9E3F0"/>
              <w:right w:val="single" w:sz="8" w:space="0" w:color="D9E3F0"/>
            </w:tcBorders>
            <w:shd w:fill="FFFFFF"/>
          </w:tcPr>
          <w:p>
            <w:r>
              <w:rPr>
                <w:rFonts w:ascii="Aptos" w:hAnsi="Aptos"/>
                <w:b w:val="0"/>
                <w:i w:val="0"/>
                <w:color w:val="071B33"/>
                <w:sz w:val="18"/>
              </w:rPr>
              <w:t>Check figures, dates, page breaks, source boundaries, and prohibited wording before publishing.</w:t>
            </w:r>
          </w:p>
        </w:tc>
      </w:tr>
    </w:tbl>
    <w:p>
      <w:pPr>
        <w:spacing w:before="0" w:after="80" w:line="259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80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/>
        <w:b w:val="0"/>
        <w:i w:val="0"/>
        <w:color w:val="526173"/>
        <w:sz w:val="15"/>
      </w:rPr>
      <w:t>Template structure - replace placeholders with source-backed information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526173"/>
        <w:sz w:val="16"/>
      </w:rPr>
      <w:t>BreastScreening-AI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71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BreastScreening-AI Investor Relations Letter Word Template</dc:title>
  <dc:subject>Investor relations template</dc:subject>
  <dc:creator>BreastScreening-AI</dc:creator>
  <cp:keywords>BreastScreening-AI, investor relations, reports, template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