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ptos" w:hAnsi="Aptos"/>
          <w:b/>
          <w:i w:val="0"/>
          <w:color w:val="071B33"/>
          <w:sz w:val="20"/>
        </w:rPr>
        <w:t>BreastScreening-AI</w:t>
      </w:r>
    </w:p>
    <w:tbl>
      <w:tblPr>
        <w:tblW w:type="dxa" w:w="1440"/>
        <w:jc w:val="left"/>
        <w:tblLook w:firstColumn="1" w:firstRow="1" w:lastColumn="0" w:lastRow="0" w:noHBand="0" w:noVBand="1" w:val="04A0"/>
        <w:tblInd w:w="0" w:type="dxa"/>
      </w:tblPr>
      <w:tblGrid>
        <w:gridCol w:w="9994"/>
      </w:tblGrid>
      <w:tr>
        <w:tc>
          <w:tcPr>
            <w:tcW w:type="dxa" w:w="9994"/>
            <w:shd w:fill="1264FF"/>
            <w:tcBorders>
              <w:top w:val="single" w:sz="0" w:space="0" w:color="1264FF"/>
              <w:left w:val="single" w:sz="0" w:space="0" w:color="1264FF"/>
              <w:bottom w:val="single" w:sz="0" w:space="0" w:color="1264FF"/>
              <w:right w:val="single" w:sz="0" w:space="0" w:color="1264FF"/>
            </w:tcBorders>
          </w:tcPr>
          <w:p>
            <w:pPr>
              <w:spacing w:after="0"/>
            </w:pPr>
            <w:r/>
          </w:p>
        </w:tc>
      </w:tr>
    </w:tbl>
    <w:p>
      <w:pPr>
        <w:spacing w:before="480" w:after="80" w:line="259" w:lineRule="auto"/>
      </w:pPr>
      <w:r>
        <w:rPr>
          <w:rFonts w:ascii="Aptos" w:hAnsi="Aptos"/>
          <w:b/>
          <w:i w:val="0"/>
          <w:color w:val="12A875"/>
          <w:sz w:val="18"/>
        </w:rPr>
        <w:t>IR NEWS AND NOTICE TEMPLATE</w:t>
      </w:r>
    </w:p>
    <w:p>
      <w:pPr>
        <w:spacing w:before="0" w:after="160" w:line="259" w:lineRule="auto"/>
      </w:pPr>
      <w:r>
        <w:rPr>
          <w:rFonts w:ascii="Aptos" w:hAnsi="Aptos"/>
          <w:b/>
          <w:i w:val="0"/>
          <w:color w:val="071B33"/>
          <w:sz w:val="52"/>
        </w:rPr>
        <w:t>IR News Release or Investor Notice</w:t>
      </w:r>
    </w:p>
    <w:p>
      <w:pPr>
        <w:spacing w:before="0" w:after="360" w:line="259" w:lineRule="auto"/>
      </w:pPr>
      <w:r>
        <w:rPr>
          <w:rFonts w:ascii="Aptos" w:hAnsi="Aptos"/>
          <w:b w:val="0"/>
          <w:i w:val="0"/>
          <w:color w:val="526173"/>
          <w:sz w:val="23"/>
        </w:rPr>
        <w:t>Word-first announcement template for material, source-backed financial or company updates.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3331"/>
        <w:gridCol w:w="3331"/>
        <w:gridCol w:w="3331"/>
      </w:tblGrid>
      <w:tr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1]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2]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3]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</w:tr>
    </w:tbl>
    <w:p>
      <w:pPr>
        <w:spacing w:before="0" w:after="120" w:line="259" w:lineRule="auto"/>
      </w:pP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994"/>
      </w:tblGrid>
      <w:tr>
        <w:tc>
          <w:tcPr>
            <w:tcW w:type="dxa" w:w="999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/>
                <w:i w:val="0"/>
                <w:color w:val="071B33"/>
                <w:sz w:val="21"/>
              </w:rPr>
              <w:t>Evidence boundary</w:t>
            </w:r>
          </w:p>
          <w:p>
            <w:r>
              <w:rPr>
                <w:rFonts w:ascii="Aptos" w:hAnsi="Aptos"/>
                <w:b w:val="0"/>
                <w:i w:val="0"/>
                <w:color w:val="526173"/>
                <w:sz w:val="17"/>
              </w:rPr>
              <w:t>State what the source supports, what remains pending, and which claims must not be made without additional evidence.</w:t>
            </w:r>
          </w:p>
        </w:tc>
      </w:tr>
    </w:tbl>
    <w:p>
      <w:pPr>
        <w:spacing w:before="0" w:after="12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Headline and Summary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[State what happened, the relevant date or reporting period, and the source-backed importance.]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Detailed Announcement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[Write the factual announcement body. Keep wording traceable to the available evidence.]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Key Figures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Amount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 or other supported value]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Date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[Supported date]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Identifier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[Grant, filing, or document identifier when available]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Reporting period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[Period]</w:t>
            </w:r>
          </w:p>
        </w:tc>
      </w:tr>
    </w:tbl>
    <w:p>
      <w:pPr>
        <w:spacing w:before="0" w:after="8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Investor Relevance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[Explain why the event matters for diligence, runway, financial transparency, or strategic progress.]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What Remains Pending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[Identify missing payment schedules, audit details, customer proof, or regulatory confirmation.]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Publishing Test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If the event cannot be traced to uploaded evidence or an approved public source, do not publish it as an IR item.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526173"/>
        <w:sz w:val="15"/>
      </w:rPr>
      <w:t>Template structure - replace placeholders with source-backed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173"/>
        <w:sz w:val="16"/>
      </w:rPr>
      <w:t>BreastScreening-AI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71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BreastScreening-AI IR News and Notice Word Template</dc:title>
  <dc:subject>Investor relations template</dc:subject>
  <dc:creator>BreastScreening-AI</dc:creator>
  <cp:keywords>BreastScreening-AI, investor relations, reports,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