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Arial" w:hAnsi="Arial"/>
          <w:b/>
          <w:color w:val="1479D1"/>
          <w:sz w:val="17"/>
        </w:rPr>
        <w:t>INVESTOR NOTICE</w:t>
      </w:r>
    </w:p>
    <w:p>
      <w:pPr>
        <w:spacing w:before="0" w:after="160" w:line="264" w:lineRule="auto"/>
        <w:jc w:val="left"/>
      </w:pPr>
      <w:r>
        <w:rPr>
          <w:rFonts w:ascii="Arial" w:hAnsi="Arial"/>
          <w:b/>
          <w:color w:val="102A43"/>
          <w:sz w:val="46"/>
        </w:rPr>
        <w:t>Interim FY2026 Financial Statements Available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color w:val="243B53"/>
          <w:sz w:val="22"/>
        </w:rPr>
        <w:t>BreastScreening-AI has published an interim financial statement access copy for the period ended 28 February 2026, based on the available interim accounting records.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9752"/>
            <w:gridSpan w:val="2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Event Details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REPORTING PERIOD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Period ended 28 February 2026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PUBLICATION DATE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15 June 2026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RELATED DOCUMENT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Interim Financial Statements 2026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CURRENCY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Euro (EUR)</w:t>
            </w:r>
          </w:p>
        </w:tc>
      </w:tr>
    </w:tbl>
    <w:p>
      <w:pPr>
        <w:spacing w:before="0" w:after="40" w:line="264" w:lineRule="auto"/>
        <w:jc w:val="left"/>
      </w:pPr>
      <w:r>
        <w:rPr>
          <w:rFonts w:ascii="Arial" w:hAnsi="Arial"/>
          <w:b w:val="0"/>
          <w:color w:val="243B53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753"/>
            <w:gridSpan w:val="3"/>
            <w:shd w:fill="1479D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Figures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7,476.39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Total assets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258.30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Cash and deposits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-1,064.88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Equity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8,541.27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Liabilities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7,866.32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Supplier liabilities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-4,575.68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Interim net result</w:t>
            </w:r>
          </w:p>
        </w:tc>
      </w:tr>
    </w:tbl>
    <w:p>
      <w:pPr>
        <w:pStyle w:val="Heading2"/>
      </w:pPr>
      <w:r>
        <w:t>Detailed Announcement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access copy summarizes the financial position and income statement for the interim period ended 28 February 2026.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At the reporting date, total assets were EUR 7,476.39, cash and deposits were EUR 258.30, equity was EUR -1,064.88, and liabilities were EUR 8,541.27.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Supplier liabilities were EUR 7,866.32. The interim income statement recorded EUR 1,372.42 in external services, EUR 2,624.44 in personnel expenses, and a net result of EUR -4,575.68.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interim result has not been annualized and does not incorporate later funding or cash events unless they are recorded in a subsequent accounting period.</w:t>
      </w:r>
    </w:p>
    <w:p>
      <w:pPr>
        <w:pStyle w:val="Heading2"/>
      </w:pPr>
      <w:r>
        <w:t>Investor Relevance</w:t>
      </w:r>
    </w:p>
    <w:p>
      <w:pPr>
        <w:spacing w:before="0" w:after="120" w:line="264" w:lineRule="auto"/>
        <w:jc w:val="left"/>
      </w:pPr>
      <w:r>
        <w:rPr>
          <w:rFonts w:ascii="Arial" w:hAnsi="Arial"/>
          <w:b w:val="0"/>
          <w:color w:val="243B53"/>
          <w:sz w:val="19"/>
        </w:rPr>
        <w:t>The interim statement is material to liquidity and working-capital diligence. Low cash, negative equity, and supplier liabilities at the reporting date make funding timing and cash controls important areas for continued review.</w:t>
      </w:r>
    </w:p>
    <w:p>
      <w:pPr>
        <w:pStyle w:val="Heading2"/>
      </w:pPr>
      <w:r>
        <w:t>Source Basis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Interim balance sheet and income statement records for the period ended 28 February 2026.</w:t>
      </w:r>
    </w:p>
    <w:p>
      <w:pPr>
        <w:pStyle w:val="Heading2"/>
      </w:pPr>
      <w:r>
        <w:t>Information Not Established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The reviewed source set does not establish subsequent cash receipts, investor proceeds, customer collections, a final EIC payment schedule, or a full-year FY2026 forecast.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27D98"/>
        <w:sz w:val="15"/>
      </w:rPr>
      <w:t>Company communication asset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02A43"/>
        <w:sz w:val="17"/>
      </w:rPr>
      <w:t>BreastScreening-AI</w:t>
    </w:r>
    <w:r>
      <w:rPr>
        <w:rFonts w:ascii="Arial" w:hAnsi="Arial"/>
        <w:b w:val="0"/>
        <w:color w:val="627D98"/>
        <w:sz w:val="16"/>
      </w:rPr>
      <w:t xml:space="preserve">    Investor Notice | 15 June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FY2026 Financial Statements Available</dc:title>
  <dc:subject>Interim Financial Statements</dc:subject>
  <dc:creator>BreastScreening-AI</dc:creator>
  <cp:keywords>investor relations, company communication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