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60"/>
              <w:left w:type="dxa" w:w="300"/>
              <w:bottom w:type="dxa" w:w="360"/>
              <w:right w:type="dxa" w:w="300"/>
            </w:tcMar>
          </w:tcPr>
          <w:p>
            <w:pPr>
              <w:spacing w:after="40" w:before="0"/>
              <w:jc w:val="center"/>
            </w:pPr>
            <w:r>
              <w:rPr>
                <w:rFonts w:ascii="Arial" w:cs="Arial" w:eastAsia="Arial" w:hAnsi="Arial"/>
                <w:b/>
                <w:bCs/>
                <w:caps/>
                <w:color w:val="D6E4F0"/>
                <w:sz w:val="18"/>
                <w:szCs w:val="18"/>
              </w:rPr>
              <w:t xml:space="preserve">EXECUTIVE SUMMARY</w:t>
            </w:r>
          </w:p>
          <w:p>
            <w:pPr>
              <w:spacing w:after="30" w:before="0"/>
              <w:jc w:val="center"/>
            </w:pPr>
            <w:r>
              <w:rPr>
                <w:rFonts w:ascii="Arial" w:cs="Arial" w:eastAsia="Arial" w:hAnsi="Arial"/>
                <w:b/>
                <w:bCs/>
                <w:color w:val="FFFFFF"/>
                <w:sz w:val="40"/>
                <w:szCs w:val="40"/>
              </w:rPr>
              <w:t xml:space="preserve">Cybersecurity Strategy and GRC Improvement Roadmap</w:t>
            </w:r>
          </w:p>
          <w:p>
            <w:pPr>
              <w:spacing w:after="20" w:before="0"/>
              <w:jc w:val="center"/>
            </w:pPr>
            <w:r>
              <w:rPr>
                <w:rFonts w:ascii="Arial" w:cs="Arial" w:eastAsia="Arial" w:hAnsi="Arial"/>
                <w:b/>
                <w:bCs/>
                <w:color w:val="D6E4F0"/>
                <w:sz w:val="28"/>
                <w:szCs w:val="28"/>
              </w:rPr>
              <w:t xml:space="preserve">Fensis Limited  |  Ghana</w:t>
            </w:r>
          </w:p>
          <w:p>
            <w:pPr>
              <w:spacing w:after="20" w:before="40"/>
              <w:jc w:val="center"/>
            </w:pPr>
            <w:r>
              <w:rPr>
                <w:rFonts w:ascii="Arial" w:cs="Arial" w:eastAsia="Arial" w:hAnsi="Arial"/>
                <w:color w:val="90B8D8"/>
                <w:sz w:val="20"/>
                <w:szCs w:val="20"/>
              </w:rPr>
              <w:t xml:space="preserve">Framework: NIST Cybersecurity Framework 2.0  |  December 2025 – March 2026</w:t>
            </w:r>
          </w:p>
          <w:p>
            <w:pPr>
              <w:spacing w:after="0" w:before="0"/>
              <w:jc w:val="center"/>
            </w:pPr>
            <w:r>
              <w:rPr>
                <w:rFonts w:ascii="Arial" w:cs="Arial" w:eastAsia="Arial" w:hAnsi="Arial"/>
                <w:i/>
                <w:iCs/>
                <w:color w:val="B8D4E8"/>
                <w:sz w:val="18"/>
                <w:szCs w:val="18"/>
              </w:rPr>
              <w:t xml:space="preserve">Prepared by Breck Agyekum  |  GRC Consultant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spacing w:after="0" w:before="0"/>
            </w:pPr>
            <w:r>
              <w:rPr>
                <w:rFonts w:ascii="Arial" w:cs="Arial" w:eastAsia="Arial" w:hAnsi="Arial"/>
                <w:b/>
                <w:bCs/>
                <w:color w:val="D6E4F0"/>
                <w:sz w:val="22"/>
                <w:szCs w:val="22"/>
              </w:rPr>
              <w:t xml:space="preserve">1. </w:t>
            </w:r>
            <w:r>
              <w:rPr>
                <w:rFonts w:ascii="Arial" w:cs="Arial" w:eastAsia="Arial" w:hAnsi="Arial"/>
                <w:b/>
                <w:bCs/>
                <w:color w:val="FFFFFF"/>
                <w:sz w:val="22"/>
                <w:szCs w:val="22"/>
              </w:rPr>
              <w:t xml:space="preserve">Purpose of This Assessment</w:t>
            </w:r>
          </w:p>
        </w:tc>
      </w:tr>
    </w:tbl>
    <w:p>
      <w:pPr>
        <w:spacing w:after="0" w:before="60"/>
      </w:pPr>
      <w:r>
        <w:t xml:space="preserve"/>
      </w:r>
    </w:p>
    <w:p>
      <w:pPr>
        <w:spacing w:after="60" w:before="60"/>
      </w:pPr>
      <w:r>
        <w:rPr>
          <w:rFonts w:ascii="Arial" w:cs="Arial" w:eastAsia="Arial" w:hAnsi="Arial"/>
          <w:b w:val="false"/>
          <w:bCs w:val="false"/>
          <w:color w:val="222222"/>
          <w:sz w:val="20"/>
          <w:szCs w:val="20"/>
        </w:rPr>
        <w:t xml:space="preserve">This report presents the findings of a cybersecurity strategy and risk assessment conducted for Fensis Limited between December 2025 and March 2026. The assessment used the NIST Cybersecurity Framework 2.0 as its primary reference and covered business context analysis, critical asset identification, threat and vulnerability assessment, risk scoring, control gap analysis across all six framework functions, third-party vendor risk assessment, and a 180-day improvement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spacing w:after="0" w:before="0"/>
            </w:pPr>
            <w:r>
              <w:rPr>
                <w:rFonts w:ascii="Arial" w:cs="Arial" w:eastAsia="Arial" w:hAnsi="Arial"/>
                <w:b/>
                <w:bCs/>
                <w:color w:val="D6E4F0"/>
                <w:sz w:val="22"/>
                <w:szCs w:val="22"/>
              </w:rPr>
              <w:t xml:space="preserve">2. </w:t>
            </w:r>
            <w:r>
              <w:rPr>
                <w:rFonts w:ascii="Arial" w:cs="Arial" w:eastAsia="Arial" w:hAnsi="Arial"/>
                <w:b/>
                <w:bCs/>
                <w:color w:val="FFFFFF"/>
                <w:sz w:val="22"/>
                <w:szCs w:val="22"/>
              </w:rPr>
              <w:t xml:space="preserve">About Fensis Limited</w:t>
            </w:r>
          </w:p>
        </w:tc>
      </w:tr>
    </w:tbl>
    <w:p>
      <w:pPr>
        <w:spacing w:after="0" w:before="60"/>
      </w:pPr>
      <w:r>
        <w:t xml:space="preserve"/>
      </w:r>
    </w:p>
    <w:p>
      <w:pPr>
        <w:spacing w:after="60" w:before="60"/>
      </w:pPr>
      <w:r>
        <w:rPr>
          <w:rFonts w:ascii="Arial" w:cs="Arial" w:eastAsia="Arial" w:hAnsi="Arial"/>
          <w:b w:val="false"/>
          <w:bCs w:val="false"/>
          <w:color w:val="222222"/>
          <w:sz w:val="20"/>
          <w:szCs w:val="20"/>
        </w:rPr>
        <w:t xml:space="preserve">Fensis Limited is a security systems distribution and installation business that supplies and installs products such as CCTV systems, electric fencing, automated gate motors, and related security technologies. The company depends heavily on customer site information, supplier relationships, skilled technicians, financial records, project files, inventory, and after-sales support to deliver its services. Because the business handles sensitive client location details and security installation records, weak cybersecurity controls could directly affect customer trust, service delivery, and business continuity.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spacing w:after="0" w:before="0"/>
            </w:pPr>
            <w:r>
              <w:rPr>
                <w:rFonts w:ascii="Arial" w:cs="Arial" w:eastAsia="Arial" w:hAnsi="Arial"/>
                <w:b/>
                <w:bCs/>
                <w:color w:val="D6E4F0"/>
                <w:sz w:val="22"/>
                <w:szCs w:val="22"/>
              </w:rPr>
              <w:t xml:space="preserve">3. </w:t>
            </w:r>
            <w:r>
              <w:rPr>
                <w:rFonts w:ascii="Arial" w:cs="Arial" w:eastAsia="Arial" w:hAnsi="Arial"/>
                <w:b/>
                <w:bCs/>
                <w:color w:val="FFFFFF"/>
                <w:sz w:val="22"/>
                <w:szCs w:val="22"/>
              </w:rPr>
              <w:t xml:space="preserve">Key Findings</w:t>
            </w:r>
          </w:p>
        </w:tc>
      </w:tr>
    </w:tbl>
    <w:p>
      <w:pPr>
        <w:spacing w:after="0" w:before="60"/>
      </w:pPr>
      <w:r>
        <w:t xml:space="preserve"/>
      </w:r>
    </w:p>
    <w:p>
      <w:pPr>
        <w:spacing w:after="60" w:before="60"/>
      </w:pPr>
      <w:r>
        <w:rPr>
          <w:rFonts w:ascii="Arial" w:cs="Arial" w:eastAsia="Arial" w:hAnsi="Arial"/>
          <w:b w:val="false"/>
          <w:bCs w:val="false"/>
          <w:color w:val="222222"/>
          <w:sz w:val="20"/>
          <w:szCs w:val="20"/>
        </w:rPr>
        <w:t xml:space="preserve">The assessment found that Fensis has strong operational knowledge of its business assets, but most of this knowledge is informal and not documented in a structured way. Ten critical business assets were identified including customer records, supplier relationships, skilled technicians, financial data, project records, inventory, company reputation, and business systems. The main concern is that Fensis currently relies too much on individual staff knowledge, personal devices, informal storage practices, and undocumented processes — which creates avoidable and significant business risk.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CE9F8" w:val="clear"/>
            <w:tcMar>
              <w:top w:type="dxa" w:w="100"/>
              <w:left w:type="dxa" w:w="80"/>
              <w:bottom w:type="dxa" w:w="100"/>
              <w:right w:type="dxa" w:w="80"/>
            </w:tcMar>
          </w:tcPr>
          <w:p>
            <w:pPr>
              <w:spacing w:after="20" w:before="0"/>
              <w:jc w:val="center"/>
            </w:pPr>
            <w:r>
              <w:rPr>
                <w:rFonts w:ascii="Arial" w:cs="Arial" w:eastAsia="Arial" w:hAnsi="Arial"/>
                <w:b/>
                <w:bCs/>
                <w:color w:val="1A5EA8"/>
                <w:sz w:val="36"/>
                <w:szCs w:val="36"/>
              </w:rPr>
              <w:t xml:space="preserve">10</w:t>
            </w:r>
          </w:p>
          <w:p>
            <w:pPr>
              <w:spacing w:after="0" w:before="0"/>
              <w:jc w:val="center"/>
            </w:pPr>
            <w:r>
              <w:rPr>
                <w:rFonts w:ascii="Arial" w:cs="Arial" w:eastAsia="Arial" w:hAnsi="Arial"/>
                <w:color w:val="1A5EA8"/>
                <w:sz w:val="16"/>
                <w:szCs w:val="16"/>
              </w:rPr>
              <w:t xml:space="preserve">Critical Assets Identified</w:t>
            </w:r>
          </w:p>
        </w:tc>
        <w:tc>
          <w:tcPr>
            <w:tcW w:type="dxa" w:w="2340"/>
            <w:tcBorders>
              <w:top w:val="single" w:color="CCCCCC" w:sz="1"/>
              <w:left w:val="single" w:color="CCCCCC" w:sz="1"/>
              <w:bottom w:val="single" w:color="CCCCCC" w:sz="1"/>
              <w:right w:val="single" w:color="CCCCCC" w:sz="1"/>
            </w:tcBorders>
            <w:shd w:fill="FDDADA" w:val="clear"/>
            <w:tcMar>
              <w:top w:type="dxa" w:w="100"/>
              <w:left w:type="dxa" w:w="80"/>
              <w:bottom w:type="dxa" w:w="100"/>
              <w:right w:type="dxa" w:w="80"/>
            </w:tcMar>
          </w:tcPr>
          <w:p>
            <w:pPr>
              <w:spacing w:after="20" w:before="0"/>
              <w:jc w:val="center"/>
            </w:pPr>
            <w:r>
              <w:rPr>
                <w:rFonts w:ascii="Arial" w:cs="Arial" w:eastAsia="Arial" w:hAnsi="Arial"/>
                <w:b/>
                <w:bCs/>
                <w:color w:val="C00000"/>
                <w:sz w:val="36"/>
                <w:szCs w:val="36"/>
              </w:rPr>
              <w:t xml:space="preserve">3</w:t>
            </w:r>
          </w:p>
          <w:p>
            <w:pPr>
              <w:spacing w:after="0" w:before="0"/>
              <w:jc w:val="center"/>
            </w:pPr>
            <w:r>
              <w:rPr>
                <w:rFonts w:ascii="Arial" w:cs="Arial" w:eastAsia="Arial" w:hAnsi="Arial"/>
                <w:color w:val="C00000"/>
                <w:sz w:val="16"/>
                <w:szCs w:val="16"/>
              </w:rPr>
              <w:t xml:space="preserve">CRITICAL Risks</w:t>
            </w:r>
          </w:p>
        </w:tc>
        <w:tc>
          <w:tcPr>
            <w:tcW w:type="dxa" w:w="2340"/>
            <w:tcBorders>
              <w:top w:val="single" w:color="CCCCCC" w:sz="1"/>
              <w:left w:val="single" w:color="CCCCCC" w:sz="1"/>
              <w:bottom w:val="single" w:color="CCCCCC" w:sz="1"/>
              <w:right w:val="single" w:color="CCCCCC" w:sz="1"/>
            </w:tcBorders>
            <w:shd w:fill="FEF0CC" w:val="clear"/>
            <w:tcMar>
              <w:top w:type="dxa" w:w="100"/>
              <w:left w:type="dxa" w:w="80"/>
              <w:bottom w:type="dxa" w:w="100"/>
              <w:right w:type="dxa" w:w="80"/>
            </w:tcMar>
          </w:tcPr>
          <w:p>
            <w:pPr>
              <w:spacing w:after="20" w:before="0"/>
              <w:jc w:val="center"/>
            </w:pPr>
            <w:r>
              <w:rPr>
                <w:rFonts w:ascii="Arial" w:cs="Arial" w:eastAsia="Arial" w:hAnsi="Arial"/>
                <w:b/>
                <w:bCs/>
                <w:color w:val="C96A00"/>
                <w:sz w:val="36"/>
                <w:szCs w:val="36"/>
              </w:rPr>
              <w:t xml:space="preserve">6</w:t>
            </w:r>
          </w:p>
          <w:p>
            <w:pPr>
              <w:spacing w:after="0" w:before="0"/>
              <w:jc w:val="center"/>
            </w:pPr>
            <w:r>
              <w:rPr>
                <w:rFonts w:ascii="Arial" w:cs="Arial" w:eastAsia="Arial" w:hAnsi="Arial"/>
                <w:color w:val="C96A00"/>
                <w:sz w:val="16"/>
                <w:szCs w:val="16"/>
              </w:rPr>
              <w:t xml:space="preserve">HIGH Risks</w:t>
            </w:r>
          </w:p>
        </w:tc>
        <w:tc>
          <w:tcPr>
            <w:tcW w:type="dxa" w:w="2340"/>
            <w:tcBorders>
              <w:top w:val="single" w:color="CCCCCC" w:sz="1"/>
              <w:left w:val="single" w:color="CCCCCC" w:sz="1"/>
              <w:bottom w:val="single" w:color="CCCCCC" w:sz="1"/>
              <w:right w:val="single" w:color="CCCCCC" w:sz="1"/>
            </w:tcBorders>
            <w:shd w:fill="FDDADA" w:val="clear"/>
            <w:tcMar>
              <w:top w:type="dxa" w:w="100"/>
              <w:left w:type="dxa" w:w="80"/>
              <w:bottom w:type="dxa" w:w="100"/>
              <w:right w:type="dxa" w:w="80"/>
            </w:tcMar>
          </w:tcPr>
          <w:p>
            <w:pPr>
              <w:spacing w:after="20" w:before="0"/>
              <w:jc w:val="center"/>
            </w:pPr>
            <w:r>
              <w:rPr>
                <w:rFonts w:ascii="Arial" w:cs="Arial" w:eastAsia="Arial" w:hAnsi="Arial"/>
                <w:b/>
                <w:bCs/>
                <w:color w:val="C00000"/>
                <w:sz w:val="36"/>
                <w:szCs w:val="36"/>
              </w:rPr>
              <w:t xml:space="preserve">5 of 6</w:t>
            </w:r>
          </w:p>
          <w:p>
            <w:pPr>
              <w:spacing w:after="0" w:before="0"/>
              <w:jc w:val="center"/>
            </w:pPr>
            <w:r>
              <w:rPr>
                <w:rFonts w:ascii="Arial" w:cs="Arial" w:eastAsia="Arial" w:hAnsi="Arial"/>
                <w:color w:val="C00000"/>
                <w:sz w:val="16"/>
                <w:szCs w:val="16"/>
              </w:rPr>
              <w:t xml:space="preserve">NIST Functions — Critical Gap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spacing w:after="0" w:before="0"/>
            </w:pPr>
            <w:r>
              <w:rPr>
                <w:rFonts w:ascii="Arial" w:cs="Arial" w:eastAsia="Arial" w:hAnsi="Arial"/>
                <w:b/>
                <w:bCs/>
                <w:color w:val="D6E4F0"/>
                <w:sz w:val="22"/>
                <w:szCs w:val="22"/>
              </w:rPr>
              <w:t xml:space="preserve">4. </w:t>
            </w:r>
            <w:r>
              <w:rPr>
                <w:rFonts w:ascii="Arial" w:cs="Arial" w:eastAsia="Arial" w:hAnsi="Arial"/>
                <w:b/>
                <w:bCs/>
                <w:color w:val="FFFFFF"/>
                <w:sz w:val="22"/>
                <w:szCs w:val="22"/>
              </w:rPr>
              <w:t xml:space="preserve">Risk Summary — Three Critical Risks</w:t>
            </w:r>
          </w:p>
        </w:tc>
      </w:tr>
    </w:tbl>
    <w:p>
      <w:pPr>
        <w:spacing w:after="0" w:before="60"/>
      </w:pPr>
      <w:r>
        <w:t xml:space="preserve"/>
      </w:r>
    </w:p>
    <w:p>
      <w:pPr>
        <w:spacing w:after="60" w:before="60"/>
      </w:pPr>
      <w:r>
        <w:rPr>
          <w:rFonts w:ascii="Arial" w:cs="Arial" w:eastAsia="Arial" w:hAnsi="Arial"/>
          <w:b w:val="false"/>
          <w:bCs w:val="false"/>
          <w:color w:val="222222"/>
          <w:sz w:val="20"/>
          <w:szCs w:val="20"/>
        </w:rPr>
        <w:t xml:space="preserve">Three risks were rated CRITICAL because they could seriously disrupt operations, expose sensitive client information, or permanently damage the company's reputation. These risks are serious because Fensis does not yet have multi-factor authentication, a verified backup process, a formal incident response plan, or clear rules for how customer and project information should be stored and protected.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28"/>
                <w:szCs w:val="28"/>
              </w:rPr>
              <w:t xml:space="preserve">25</w:t>
            </w:r>
          </w:p>
        </w:tc>
        <w:tc>
          <w:tcPr>
            <w:tcW w:type="dxa" w:w="22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r>
              <w:rPr>
                <w:rFonts w:ascii="Arial" w:cs="Arial" w:eastAsia="Arial" w:hAnsi="Arial"/>
                <w:b/>
                <w:bCs/>
                <w:color w:val="C00000"/>
                <w:sz w:val="18"/>
                <w:szCs w:val="18"/>
              </w:rPr>
              <w:t xml:space="preserve">R-02</w:t>
            </w:r>
          </w:p>
          <w:p>
            <w:r>
              <w:rPr>
                <w:rFonts w:ascii="Arial" w:cs="Arial" w:eastAsia="Arial" w:hAnsi="Arial"/>
                <w:b/>
                <w:bCs/>
                <w:color w:val="222222"/>
                <w:sz w:val="18"/>
                <w:szCs w:val="18"/>
              </w:rPr>
              <w:t xml:space="preserve">Vendor Supply Disruption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Hikvision and Dahua — Fensis's two primary CCTV vendors — face active procurement bans in the USA, UK, Australia, and Canada due to state-linked ownership. Fensis has no documented backup supplier or contingency plan.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28"/>
                <w:szCs w:val="28"/>
              </w:rPr>
              <w:t xml:space="preserve">20</w:t>
            </w:r>
          </w:p>
        </w:tc>
        <w:tc>
          <w:tcPr>
            <w:tcW w:type="dxa" w:w="22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r>
              <w:rPr>
                <w:rFonts w:ascii="Arial" w:cs="Arial" w:eastAsia="Arial" w:hAnsi="Arial"/>
                <w:b/>
                <w:bCs/>
                <w:color w:val="C00000"/>
                <w:sz w:val="18"/>
                <w:szCs w:val="18"/>
              </w:rPr>
              <w:t xml:space="preserve">R-01</w:t>
            </w:r>
          </w:p>
          <w:p>
            <w:r>
              <w:rPr>
                <w:rFonts w:ascii="Arial" w:cs="Arial" w:eastAsia="Arial" w:hAnsi="Arial"/>
                <w:b/>
                <w:bCs/>
                <w:color w:val="222222"/>
                <w:sz w:val="18"/>
                <w:szCs w:val="18"/>
              </w:rPr>
              <w:t xml:space="preserve">Customer Records Exposed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Customer site layouts, camera positions, gate access codes, and security configurations are stored informally on personal devices and WhatsApp with no access control or device policy. If exposed, the consequence is not just a data breach — it is a physical safety risk for clients whose security systems could be compromised.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28"/>
                <w:szCs w:val="28"/>
              </w:rPr>
              <w:t xml:space="preserve">20</w:t>
            </w:r>
          </w:p>
        </w:tc>
        <w:tc>
          <w:tcPr>
            <w:tcW w:type="dxa" w:w="22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r>
              <w:rPr>
                <w:rFonts w:ascii="Arial" w:cs="Arial" w:eastAsia="Arial" w:hAnsi="Arial"/>
                <w:b/>
                <w:bCs/>
                <w:color w:val="C00000"/>
                <w:sz w:val="18"/>
                <w:szCs w:val="18"/>
              </w:rPr>
              <w:t xml:space="preserve">R-07</w:t>
            </w:r>
          </w:p>
          <w:p>
            <w:r>
              <w:rPr>
                <w:rFonts w:ascii="Arial" w:cs="Arial" w:eastAsia="Arial" w:hAnsi="Arial"/>
                <w:b/>
                <w:bCs/>
                <w:color w:val="222222"/>
                <w:sz w:val="18"/>
                <w:szCs w:val="18"/>
              </w:rPr>
              <w:t xml:space="preserve">Financial Records Altered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Financial records are managed by a small number of staff with no segregation of duties, no approval process, and no audit trail. Records are stored in spreadsheets and email attachments with no access restrictions.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0" w:before="0"/>
            </w:pPr>
            <w:r>
              <w:rPr>
                <w:rFonts w:ascii="Arial" w:cs="Arial" w:eastAsia="Arial" w:hAnsi="Arial"/>
                <w:b/>
                <w:bCs/>
                <w:color w:val="1F4E79"/>
                <w:sz w:val="20"/>
                <w:szCs w:val="20"/>
              </w:rPr>
              <w:t xml:space="preserve">What makes the customer records risk particularly serious for Fensis is that the data on technician devices does not just expose personal information — it exposes the physical security configurations of client properties, including camera positions, gate access codes, and fence layouts. A stolen device does not just create a privacy problem. It hands a bad actor everything needed to bypass a client's security system.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spacing w:after="0" w:before="0"/>
            </w:pPr>
            <w:r>
              <w:rPr>
                <w:rFonts w:ascii="Arial" w:cs="Arial" w:eastAsia="Arial" w:hAnsi="Arial"/>
                <w:b/>
                <w:bCs/>
                <w:color w:val="D6E4F0"/>
                <w:sz w:val="22"/>
                <w:szCs w:val="22"/>
              </w:rPr>
              <w:t xml:space="preserve">5. </w:t>
            </w:r>
            <w:r>
              <w:rPr>
                <w:rFonts w:ascii="Arial" w:cs="Arial" w:eastAsia="Arial" w:hAnsi="Arial"/>
                <w:b/>
                <w:bCs/>
                <w:color w:val="FFFFFF"/>
                <w:sz w:val="22"/>
                <w:szCs w:val="22"/>
              </w:rPr>
              <w:t xml:space="preserve">Control Gap Assessment — NIST CSF 2.0</w:t>
            </w:r>
          </w:p>
        </w:tc>
      </w:tr>
    </w:tbl>
    <w:p>
      <w:pPr>
        <w:spacing w:after="0" w:before="60"/>
      </w:pPr>
      <w:r>
        <w:t xml:space="preserve"/>
      </w:r>
    </w:p>
    <w:p>
      <w:pPr>
        <w:spacing w:after="60" w:before="60"/>
      </w:pPr>
      <w:r>
        <w:rPr>
          <w:rFonts w:ascii="Arial" w:cs="Arial" w:eastAsia="Arial" w:hAnsi="Arial"/>
          <w:b w:val="false"/>
          <w:bCs w:val="false"/>
          <w:color w:val="222222"/>
          <w:sz w:val="20"/>
          <w:szCs w:val="20"/>
        </w:rPr>
        <w:t xml:space="preserve">The assessment evaluated Fensis against all six NIST CSF 2.0 functions. Five of six functions were rated CRITICAL gap level. Only the Identify function was rated HIGH rather than Critical — because staff have operational awareness of their assets even without formal documentation.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Borders>
              <w:top w:val="single" w:color="CCCCCC" w:sz="1"/>
              <w:left w:val="single" w:color="CCCCCC" w:sz="1"/>
              <w:bottom w:val="single" w:color="CCCCCC" w:sz="1"/>
              <w:right w:val="single" w:color="CCCCCC" w:sz="1"/>
            </w:tcBorders>
            <w:shd w:fill="1F4E79" w:val="clear"/>
            <w:tcMar>
              <w:top w:type="dxa" w:w="70"/>
              <w:left w:type="dxa" w:w="120"/>
              <w:bottom w:type="dxa" w:w="70"/>
              <w:right w:type="dxa" w:w="80"/>
            </w:tcMar>
          </w:tcPr>
          <w:p>
            <w:r>
              <w:rPr>
                <w:rFonts w:ascii="Arial" w:cs="Arial" w:eastAsia="Arial" w:hAnsi="Arial"/>
                <w:b/>
                <w:bCs/>
                <w:color w:val="FFFFFF"/>
                <w:sz w:val="18"/>
                <w:szCs w:val="18"/>
              </w:rPr>
              <w:t xml:space="preserve">Function</w:t>
            </w:r>
          </w:p>
        </w:tc>
        <w:tc>
          <w:tcPr>
            <w:tcBorders>
              <w:top w:val="single" w:color="CCCCCC" w:sz="1"/>
              <w:left w:val="single" w:color="CCCCCC" w:sz="1"/>
              <w:bottom w:val="single" w:color="CCCCCC" w:sz="1"/>
              <w:right w:val="single" w:color="CCCCCC" w:sz="1"/>
            </w:tcBorders>
            <w:shd w:fill="1F4E79" w:val="clear"/>
            <w:tcMar>
              <w:top w:type="dxa" w:w="70"/>
              <w:left w:type="dxa" w:w="80"/>
              <w:bottom w:type="dxa" w:w="70"/>
              <w:right w:type="dxa" w:w="80"/>
            </w:tcMar>
          </w:tcPr>
          <w:p>
            <w:pPr>
              <w:jc w:val="center"/>
            </w:pPr>
            <w:r>
              <w:rPr>
                <w:rFonts w:ascii="Arial" w:cs="Arial" w:eastAsia="Arial" w:hAnsi="Arial"/>
                <w:b/>
                <w:bCs/>
                <w:color w:val="FFFFFF"/>
                <w:sz w:val="18"/>
                <w:szCs w:val="18"/>
              </w:rPr>
              <w:t xml:space="preserve">Gap Rating</w:t>
            </w:r>
          </w:p>
        </w:tc>
        <w:tc>
          <w:tcPr>
            <w:tcBorders>
              <w:top w:val="single" w:color="CCCCCC" w:sz="1"/>
              <w:left w:val="single" w:color="CCCCCC" w:sz="1"/>
              <w:bottom w:val="single" w:color="CCCCCC" w:sz="1"/>
              <w:right w:val="single" w:color="CCCCCC" w:sz="1"/>
            </w:tcBorders>
            <w:shd w:fill="1F4E79" w:val="clear"/>
            <w:tcMar>
              <w:top w:type="dxa" w:w="70"/>
              <w:left w:type="dxa" w:w="120"/>
              <w:bottom w:type="dxa" w:w="70"/>
              <w:right w:type="dxa" w:w="80"/>
            </w:tcMar>
          </w:tcPr>
          <w:p>
            <w:r>
              <w:rPr>
                <w:rFonts w:ascii="Arial" w:cs="Arial" w:eastAsia="Arial" w:hAnsi="Arial"/>
                <w:b/>
                <w:bCs/>
                <w:color w:val="FFFFFF"/>
                <w:sz w:val="18"/>
                <w:szCs w:val="18"/>
              </w:rPr>
              <w:t xml:space="preserve">Primary Gap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Govern</w:t>
            </w:r>
          </w:p>
        </w:tc>
        <w:tc>
          <w:tcPr>
            <w:tcW w:type="dxa" w:w="16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No named cybersecurity owner. No risk strategy. No policy framework. No leadership-level oversight.</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Identify</w:t>
            </w:r>
          </w:p>
        </w:tc>
        <w:tc>
          <w:tcPr>
            <w:tcW w:type="dxa" w:w="1600"/>
            <w:tcBorders>
              <w:top w:val="single" w:color="CCCCCC" w:sz="1"/>
              <w:left w:val="single" w:color="CCCCCC" w:sz="1"/>
              <w:bottom w:val="single" w:color="CCCCCC" w:sz="1"/>
              <w:right w:val="single" w:color="CCCCCC" w:sz="1"/>
            </w:tcBorders>
            <w:shd w:fill="FEF0CC" w:val="clear"/>
            <w:tcMar>
              <w:top w:type="dxa" w:w="80"/>
              <w:left w:type="dxa" w:w="80"/>
              <w:bottom w:type="dxa" w:w="80"/>
              <w:right w:type="dxa" w:w="80"/>
            </w:tcMar>
          </w:tcPr>
          <w:p>
            <w:pPr>
              <w:jc w:val="center"/>
            </w:pPr>
            <w:r>
              <w:rPr>
                <w:rFonts w:ascii="Arial" w:cs="Arial" w:eastAsia="Arial" w:hAnsi="Arial"/>
                <w:b/>
                <w:bCs/>
                <w:color w:val="C96A00"/>
                <w:sz w:val="18"/>
                <w:szCs w:val="18"/>
              </w:rPr>
              <w:t xml:space="preserve">HIGH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No formal asset register. No risk assessment process. No vendor dependency analysis. Operational awareness exists.</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Protect</w:t>
            </w:r>
          </w:p>
        </w:tc>
        <w:tc>
          <w:tcPr>
            <w:tcW w:type="dxa" w:w="16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No MFA. No device policy. No access control. No password policy. No data handling procedure. No staff training.</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Detect</w:t>
            </w:r>
          </w:p>
        </w:tc>
        <w:tc>
          <w:tcPr>
            <w:tcW w:type="dxa" w:w="16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No account monitoring. No alert mechanism. No staff reporting process. Incidents discovered via customer complaints.</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Respond</w:t>
            </w:r>
          </w:p>
        </w:tc>
        <w:tc>
          <w:tcPr>
            <w:tcW w:type="dxa" w:w="16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No incident response plan. No escalation path. No client notification procedure. Response depends on individual judgment.</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Recover</w:t>
            </w:r>
          </w:p>
        </w:tc>
        <w:tc>
          <w:tcPr>
            <w:tcW w:type="dxa" w:w="16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222222"/>
                <w:sz w:val="18"/>
                <w:szCs w:val="18"/>
              </w:rPr>
              <w:t xml:space="preserve">No verified backup. No business continuity plan. No restoration procedure. Recovery relies on personal memory and WhatsApp.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spacing w:after="0" w:before="0"/>
            </w:pPr>
            <w:r>
              <w:rPr>
                <w:rFonts w:ascii="Arial" w:cs="Arial" w:eastAsia="Arial" w:hAnsi="Arial"/>
                <w:b/>
                <w:bCs/>
                <w:color w:val="D6E4F0"/>
                <w:sz w:val="22"/>
                <w:szCs w:val="22"/>
              </w:rPr>
              <w:t xml:space="preserve">6. </w:t>
            </w:r>
            <w:r>
              <w:rPr>
                <w:rFonts w:ascii="Arial" w:cs="Arial" w:eastAsia="Arial" w:hAnsi="Arial"/>
                <w:b/>
                <w:bCs/>
                <w:color w:val="FFFFFF"/>
                <w:sz w:val="22"/>
                <w:szCs w:val="22"/>
              </w:rPr>
              <w:t xml:space="preserve">Recommendations — 180-Day Roadmap</w:t>
            </w:r>
          </w:p>
        </w:tc>
      </w:tr>
    </w:tbl>
    <w:p>
      <w:pPr>
        <w:spacing w:after="0" w:before="60"/>
      </w:pPr>
      <w:r>
        <w:t xml:space="preserve"/>
      </w:r>
    </w:p>
    <w:p>
      <w:pPr>
        <w:spacing w:after="60" w:before="60"/>
      </w:pPr>
      <w:r>
        <w:rPr>
          <w:rFonts w:ascii="Arial" w:cs="Arial" w:eastAsia="Arial" w:hAnsi="Arial"/>
          <w:b w:val="false"/>
          <w:bCs w:val="false"/>
          <w:color w:val="222222"/>
          <w:sz w:val="20"/>
          <w:szCs w:val="20"/>
        </w:rPr>
        <w:t xml:space="preserve">The report recommends 16 practical control improvements to be implemented over 180 days. Controls have been prioritised by urgency, cost, and dependency — ensuring the most critical gaps are closed first without waiting for a perfect programme to be designed.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E5F3E6" w:val="clear"/>
            <w:tcMar>
              <w:top w:type="dxa" w:w="100"/>
              <w:left w:type="dxa" w:w="120"/>
              <w:bottom w:type="dxa" w:w="100"/>
              <w:right w:type="dxa" w:w="80"/>
            </w:tcMar>
          </w:tcPr>
          <w:p>
            <w:pPr>
              <w:spacing w:after="20" w:before="0"/>
            </w:pPr>
            <w:r>
              <w:rPr>
                <w:rFonts w:ascii="Arial" w:cs="Arial" w:eastAsia="Arial" w:hAnsi="Arial"/>
                <w:b/>
                <w:bCs/>
                <w:color w:val="2E7D32"/>
                <w:sz w:val="20"/>
                <w:szCs w:val="20"/>
              </w:rPr>
              <w:t xml:space="preserve">Phase 1 — 0 to 30 Days</w:t>
            </w:r>
          </w:p>
          <w:p>
            <w:pPr>
              <w:spacing w:after="20" w:before="0"/>
            </w:pPr>
            <w:r>
              <w:rPr>
                <w:rFonts w:ascii="Arial" w:cs="Arial" w:eastAsia="Arial" w:hAnsi="Arial"/>
                <w:i/>
                <w:iCs/>
                <w:color w:val="2E7D32"/>
                <w:sz w:val="18"/>
                <w:szCs w:val="18"/>
              </w:rPr>
              <w:t xml:space="preserve">Stop the Bleeding</w:t>
            </w:r>
          </w:p>
          <w:p>
            <w:pPr>
              <w:pStyle w:val="ListParagraph"/>
              <w:numPr>
                <w:ilvl w:val="0"/>
                <w:numId w:val="2"/>
              </w:numPr>
              <w:spacing w:after="40" w:before="40"/>
            </w:pPr>
            <w:r>
              <w:rPr>
                <w:rFonts w:ascii="Arial" w:cs="Arial" w:eastAsia="Arial" w:hAnsi="Arial"/>
                <w:color w:val="222222"/>
                <w:sz w:val="20"/>
                <w:szCs w:val="20"/>
              </w:rPr>
              <w:t xml:space="preserve">Assign Cybersecurity Risk Owner</w:t>
            </w:r>
          </w:p>
          <w:p>
            <w:pPr>
              <w:pStyle w:val="ListParagraph"/>
              <w:numPr>
                <w:ilvl w:val="0"/>
                <w:numId w:val="2"/>
              </w:numPr>
              <w:spacing w:after="40" w:before="40"/>
            </w:pPr>
            <w:r>
              <w:rPr>
                <w:rFonts w:ascii="Arial" w:cs="Arial" w:eastAsia="Arial" w:hAnsi="Arial"/>
                <w:color w:val="222222"/>
                <w:sz w:val="20"/>
                <w:szCs w:val="20"/>
              </w:rPr>
              <w:t xml:space="preserve">Enable MFA on all accounts</w:t>
            </w:r>
          </w:p>
          <w:p>
            <w:pPr>
              <w:pStyle w:val="ListParagraph"/>
              <w:numPr>
                <w:ilvl w:val="0"/>
                <w:numId w:val="2"/>
              </w:numPr>
              <w:spacing w:after="40" w:before="40"/>
            </w:pPr>
            <w:r>
              <w:rPr>
                <w:rFonts w:ascii="Arial" w:cs="Arial" w:eastAsia="Arial" w:hAnsi="Arial"/>
                <w:color w:val="222222"/>
                <w:sz w:val="20"/>
                <w:szCs w:val="20"/>
              </w:rPr>
              <w:t xml:space="preserve">Cloud backup for critical records</w:t>
            </w:r>
          </w:p>
          <w:p>
            <w:pPr>
              <w:pStyle w:val="ListParagraph"/>
              <w:numPr>
                <w:ilvl w:val="0"/>
                <w:numId w:val="2"/>
              </w:numPr>
              <w:spacing w:after="40" w:before="40"/>
            </w:pPr>
            <w:r>
              <w:rPr>
                <w:rFonts w:ascii="Arial" w:cs="Arial" w:eastAsia="Arial" w:hAnsi="Arial"/>
                <w:color w:val="222222"/>
                <w:sz w:val="20"/>
                <w:szCs w:val="20"/>
              </w:rPr>
              <w:t xml:space="preserve">Maintain asset register</w:t>
            </w:r>
          </w:p>
          <w:p>
            <w:pPr>
              <w:pStyle w:val="ListParagraph"/>
              <w:numPr>
                <w:ilvl w:val="0"/>
                <w:numId w:val="2"/>
              </w:numPr>
              <w:spacing w:after="40" w:before="40"/>
            </w:pPr>
            <w:r>
              <w:rPr>
                <w:rFonts w:ascii="Arial" w:cs="Arial" w:eastAsia="Arial" w:hAnsi="Arial"/>
                <w:color w:val="222222"/>
                <w:sz w:val="20"/>
                <w:szCs w:val="20"/>
              </w:rPr>
              <w:t xml:space="preserve">One-page incident reporting guide</w:t>
            </w:r>
          </w:p>
          <w:p>
            <w:pPr>
              <w:pStyle w:val="ListParagraph"/>
              <w:numPr>
                <w:ilvl w:val="0"/>
                <w:numId w:val="2"/>
              </w:numPr>
              <w:spacing w:after="40" w:before="40"/>
            </w:pPr>
            <w:r>
              <w:rPr>
                <w:rFonts w:ascii="Arial" w:cs="Arial" w:eastAsia="Arial" w:hAnsi="Arial"/>
                <w:color w:val="222222"/>
                <w:sz w:val="20"/>
                <w:szCs w:val="20"/>
              </w:rPr>
              <w:t xml:space="preserve">One-page incident response plan</w:t>
            </w:r>
          </w:p>
        </w:tc>
        <w:tc>
          <w:tcPr>
            <w:tcBorders>
              <w:top w:val="single" w:color="CCCCCC" w:sz="1"/>
              <w:left w:val="single" w:color="CCCCCC" w:sz="1"/>
              <w:bottom w:val="single" w:color="CCCCCC" w:sz="1"/>
              <w:right w:val="single" w:color="CCCCCC" w:sz="1"/>
            </w:tcBorders>
            <w:shd w:fill="DCE9F8" w:val="clear"/>
            <w:tcMar>
              <w:top w:type="dxa" w:w="100"/>
              <w:left w:type="dxa" w:w="120"/>
              <w:bottom w:type="dxa" w:w="100"/>
              <w:right w:type="dxa" w:w="80"/>
            </w:tcMar>
          </w:tcPr>
          <w:p>
            <w:pPr>
              <w:spacing w:after="20" w:before="0"/>
            </w:pPr>
            <w:r>
              <w:rPr>
                <w:rFonts w:ascii="Arial" w:cs="Arial" w:eastAsia="Arial" w:hAnsi="Arial"/>
                <w:b/>
                <w:bCs/>
                <w:color w:val="1A5EA8"/>
                <w:sz w:val="20"/>
                <w:szCs w:val="20"/>
              </w:rPr>
              <w:t xml:space="preserve">Phase 2 — 30 to 90 Days</w:t>
            </w:r>
          </w:p>
          <w:p>
            <w:pPr>
              <w:spacing w:after="20" w:before="0"/>
            </w:pPr>
            <w:r>
              <w:rPr>
                <w:rFonts w:ascii="Arial" w:cs="Arial" w:eastAsia="Arial" w:hAnsi="Arial"/>
                <w:i/>
                <w:iCs/>
                <w:color w:val="1A5EA8"/>
                <w:sz w:val="18"/>
                <w:szCs w:val="18"/>
              </w:rPr>
              <w:t xml:space="preserve">Build the Foundation</w:t>
            </w:r>
          </w:p>
          <w:p>
            <w:pPr>
              <w:pStyle w:val="ListParagraph"/>
              <w:numPr>
                <w:ilvl w:val="0"/>
                <w:numId w:val="2"/>
              </w:numPr>
              <w:spacing w:after="40" w:before="40"/>
            </w:pPr>
            <w:r>
              <w:rPr>
                <w:rFonts w:ascii="Arial" w:cs="Arial" w:eastAsia="Arial" w:hAnsi="Arial"/>
                <w:color w:val="222222"/>
                <w:sz w:val="20"/>
                <w:szCs w:val="20"/>
              </w:rPr>
              <w:t xml:space="preserve">Information Security Policy</w:t>
            </w:r>
          </w:p>
          <w:p>
            <w:pPr>
              <w:pStyle w:val="ListParagraph"/>
              <w:numPr>
                <w:ilvl w:val="0"/>
                <w:numId w:val="2"/>
              </w:numPr>
              <w:spacing w:after="40" w:before="40"/>
            </w:pPr>
            <w:r>
              <w:rPr>
                <w:rFonts w:ascii="Arial" w:cs="Arial" w:eastAsia="Arial" w:hAnsi="Arial"/>
                <w:color w:val="222222"/>
                <w:sz w:val="20"/>
                <w:szCs w:val="20"/>
              </w:rPr>
              <w:t xml:space="preserve">Technician device-use policy</w:t>
            </w:r>
          </w:p>
          <w:p>
            <w:pPr>
              <w:pStyle w:val="ListParagraph"/>
              <w:numPr>
                <w:ilvl w:val="0"/>
                <w:numId w:val="2"/>
              </w:numPr>
              <w:spacing w:after="40" w:before="40"/>
            </w:pPr>
            <w:r>
              <w:rPr>
                <w:rFonts w:ascii="Arial" w:cs="Arial" w:eastAsia="Arial" w:hAnsi="Arial"/>
                <w:color w:val="222222"/>
                <w:sz w:val="20"/>
                <w:szCs w:val="20"/>
              </w:rPr>
              <w:t xml:space="preserve">Role-based access control</w:t>
            </w:r>
          </w:p>
          <w:p>
            <w:pPr>
              <w:pStyle w:val="ListParagraph"/>
              <w:numPr>
                <w:ilvl w:val="0"/>
                <w:numId w:val="2"/>
              </w:numPr>
              <w:spacing w:after="40" w:before="40"/>
            </w:pPr>
            <w:r>
              <w:rPr>
                <w:rFonts w:ascii="Arial" w:cs="Arial" w:eastAsia="Arial" w:hAnsi="Arial"/>
                <w:color w:val="222222"/>
                <w:sz w:val="20"/>
                <w:szCs w:val="20"/>
              </w:rPr>
              <w:t xml:space="preserve">Security alerts and weekly review</w:t>
            </w:r>
          </w:p>
          <w:p>
            <w:pPr>
              <w:pStyle w:val="ListParagraph"/>
              <w:numPr>
                <w:ilvl w:val="0"/>
                <w:numId w:val="2"/>
              </w:numPr>
              <w:spacing w:after="40" w:before="40"/>
            </w:pPr>
            <w:r>
              <w:rPr>
                <w:rFonts w:ascii="Arial" w:cs="Arial" w:eastAsia="Arial" w:hAnsi="Arial"/>
                <w:color w:val="222222"/>
                <w:sz w:val="20"/>
                <w:szCs w:val="20"/>
              </w:rPr>
              <w:t xml:space="preserve">Vendor dependency register</w:t>
            </w:r>
          </w:p>
          <w:p>
            <w:pPr>
              <w:pStyle w:val="ListParagraph"/>
              <w:numPr>
                <w:ilvl w:val="0"/>
                <w:numId w:val="2"/>
              </w:numPr>
              <w:spacing w:after="40" w:before="40"/>
            </w:pPr>
            <w:r>
              <w:rPr>
                <w:rFonts w:ascii="Arial" w:cs="Arial" w:eastAsia="Arial" w:hAnsi="Arial"/>
                <w:color w:val="222222"/>
                <w:sz w:val="20"/>
                <w:szCs w:val="20"/>
              </w:rPr>
              <w:t xml:space="preserve">Client notification procedure</w:t>
            </w:r>
          </w:p>
          <w:p>
            <w:pPr>
              <w:pStyle w:val="ListParagraph"/>
              <w:numPr>
                <w:ilvl w:val="0"/>
                <w:numId w:val="2"/>
              </w:numPr>
              <w:spacing w:after="40" w:before="40"/>
            </w:pPr>
            <w:r>
              <w:rPr>
                <w:rFonts w:ascii="Arial" w:cs="Arial" w:eastAsia="Arial" w:hAnsi="Arial"/>
                <w:color w:val="222222"/>
                <w:sz w:val="20"/>
                <w:szCs w:val="20"/>
              </w:rPr>
              <w:t xml:space="preserve">Monthly risk dashboard</w:t>
            </w:r>
          </w:p>
        </w:tc>
        <w:tc>
          <w:tcPr>
            <w:tcBorders>
              <w:top w:val="single" w:color="CCCCCC" w:sz="1"/>
              <w:left w:val="single" w:color="CCCCCC" w:sz="1"/>
              <w:bottom w:val="single" w:color="CCCCCC" w:sz="1"/>
              <w:right w:val="single" w:color="CCCCCC" w:sz="1"/>
            </w:tcBorders>
            <w:shd w:fill="FEF0CC" w:val="clear"/>
            <w:tcMar>
              <w:top w:type="dxa" w:w="100"/>
              <w:left w:type="dxa" w:w="120"/>
              <w:bottom w:type="dxa" w:w="100"/>
              <w:right w:type="dxa" w:w="80"/>
            </w:tcMar>
          </w:tcPr>
          <w:p>
            <w:pPr>
              <w:spacing w:after="20" w:before="0"/>
            </w:pPr>
            <w:r>
              <w:rPr>
                <w:rFonts w:ascii="Arial" w:cs="Arial" w:eastAsia="Arial" w:hAnsi="Arial"/>
                <w:b/>
                <w:bCs/>
                <w:color w:val="C96A00"/>
                <w:sz w:val="20"/>
                <w:szCs w:val="20"/>
              </w:rPr>
              <w:t xml:space="preserve">Phase 3 — 90 to 180 Days</w:t>
            </w:r>
          </w:p>
          <w:p>
            <w:pPr>
              <w:spacing w:after="20" w:before="0"/>
            </w:pPr>
            <w:r>
              <w:rPr>
                <w:rFonts w:ascii="Arial" w:cs="Arial" w:eastAsia="Arial" w:hAnsi="Arial"/>
                <w:i/>
                <w:iCs/>
                <w:color w:val="C96A00"/>
                <w:sz w:val="18"/>
                <w:szCs w:val="18"/>
              </w:rPr>
              <w:t xml:space="preserve">Strengthen and Sustain</w:t>
            </w:r>
          </w:p>
          <w:p>
            <w:pPr>
              <w:pStyle w:val="ListParagraph"/>
              <w:numPr>
                <w:ilvl w:val="0"/>
                <w:numId w:val="2"/>
              </w:numPr>
              <w:spacing w:after="40" w:before="40"/>
            </w:pPr>
            <w:r>
              <w:rPr>
                <w:rFonts w:ascii="Arial" w:cs="Arial" w:eastAsia="Arial" w:hAnsi="Arial"/>
                <w:color w:val="222222"/>
                <w:sz w:val="20"/>
                <w:szCs w:val="20"/>
              </w:rPr>
              <w:t xml:space="preserve">Formal risk assessment twice yearly</w:t>
            </w:r>
          </w:p>
          <w:p>
            <w:pPr>
              <w:pStyle w:val="ListParagraph"/>
              <w:numPr>
                <w:ilvl w:val="0"/>
                <w:numId w:val="2"/>
              </w:numPr>
              <w:spacing w:after="40" w:before="40"/>
            </w:pPr>
            <w:r>
              <w:rPr>
                <w:rFonts w:ascii="Arial" w:cs="Arial" w:eastAsia="Arial" w:hAnsi="Arial"/>
                <w:color w:val="222222"/>
                <w:sz w:val="20"/>
                <w:szCs w:val="20"/>
              </w:rPr>
              <w:t xml:space="preserve">Cybersecurity awareness training</w:t>
            </w:r>
          </w:p>
          <w:p>
            <w:pPr>
              <w:pStyle w:val="ListParagraph"/>
              <w:numPr>
                <w:ilvl w:val="0"/>
                <w:numId w:val="2"/>
              </w:numPr>
              <w:spacing w:after="40" w:before="40"/>
            </w:pPr>
            <w:r>
              <w:rPr>
                <w:rFonts w:ascii="Arial" w:cs="Arial" w:eastAsia="Arial" w:hAnsi="Arial"/>
                <w:color w:val="222222"/>
                <w:sz w:val="20"/>
                <w:szCs w:val="20"/>
              </w:rPr>
              <w:t xml:space="preserve">Business continuity checklist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spacing w:after="0" w:before="0"/>
            </w:pPr>
            <w:r>
              <w:rPr>
                <w:rFonts w:ascii="Arial" w:cs="Arial" w:eastAsia="Arial" w:hAnsi="Arial"/>
                <w:b/>
                <w:bCs/>
                <w:color w:val="D6E4F0"/>
                <w:sz w:val="22"/>
                <w:szCs w:val="22"/>
              </w:rPr>
              <w:t xml:space="preserve">7. </w:t>
            </w:r>
            <w:r>
              <w:rPr>
                <w:rFonts w:ascii="Arial" w:cs="Arial" w:eastAsia="Arial" w:hAnsi="Arial"/>
                <w:b/>
                <w:bCs/>
                <w:color w:val="FFFFFF"/>
                <w:sz w:val="22"/>
                <w:szCs w:val="22"/>
              </w:rPr>
              <w:t xml:space="preserve">What Happens If Nothing Changes</w:t>
            </w:r>
          </w:p>
        </w:tc>
      </w:tr>
    </w:tbl>
    <w:p>
      <w:pPr>
        <w:spacing w:after="0" w:before="60"/>
      </w:pPr>
      <w:r>
        <w:t xml:space="preserve"/>
      </w:r>
    </w:p>
    <w:p>
      <w:pPr>
        <w:spacing w:after="60" w:before="60"/>
      </w:pPr>
      <w:r>
        <w:rPr>
          <w:rFonts w:ascii="Arial" w:cs="Arial" w:eastAsia="Arial" w:hAnsi="Arial"/>
          <w:b w:val="false"/>
          <w:bCs w:val="false"/>
          <w:color w:val="222222"/>
          <w:sz w:val="20"/>
          <w:szCs w:val="20"/>
        </w:rPr>
        <w:t xml:space="preserve">If Fensis does nothing, the company remains exposed to account compromise, customer data exposure, loss of project records, supplier disruption, and reputational damage. A single lost technician phone, compromised email account, ransomware attack, or deleted business file could interrupt operations and force staff to reconstruct important information from memory, WhatsApp messages, or personal devices — which is a recovery plan only if the business enjoys chaos as a service.</w:t>
      </w:r>
    </w:p>
    <w:p>
      <w:pPr>
        <w:spacing w:after="0" w:before="40"/>
      </w:pPr>
      <w:r>
        <w:t xml:space="preserve"/>
      </w:r>
    </w:p>
    <w:p>
      <w:pPr>
        <w:spacing w:after="60" w:before="60"/>
      </w:pPr>
      <w:r>
        <w:rPr>
          <w:rFonts w:ascii="Arial" w:cs="Arial" w:eastAsia="Arial" w:hAnsi="Arial"/>
          <w:b w:val="false"/>
          <w:bCs w:val="false"/>
          <w:color w:val="222222"/>
          <w:sz w:val="20"/>
          <w:szCs w:val="20"/>
        </w:rPr>
        <w:t xml:space="preserve">The biggest risk is not only a cyberattack, but the absence of a clear process when something goes wrong. In a high-trust security market where Fensis's clients depend on them to protect their properties, a visible cybersecurity failure does not just cost money — it costs the business's reason for existing.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spacing w:after="0" w:before="0"/>
            </w:pPr>
            <w:r>
              <w:rPr>
                <w:rFonts w:ascii="Arial" w:cs="Arial" w:eastAsia="Arial" w:hAnsi="Arial"/>
                <w:b/>
                <w:bCs/>
                <w:color w:val="D6E4F0"/>
                <w:sz w:val="22"/>
                <w:szCs w:val="22"/>
              </w:rPr>
              <w:t xml:space="preserve">8. </w:t>
            </w:r>
            <w:r>
              <w:rPr>
                <w:rFonts w:ascii="Arial" w:cs="Arial" w:eastAsia="Arial" w:hAnsi="Arial"/>
                <w:b/>
                <w:bCs/>
                <w:color w:val="FFFFFF"/>
                <w:sz w:val="22"/>
                <w:szCs w:val="22"/>
              </w:rPr>
              <w:t xml:space="preserve">Conclusion and Next Steps</w:t>
            </w:r>
          </w:p>
        </w:tc>
      </w:tr>
    </w:tbl>
    <w:p>
      <w:pPr>
        <w:spacing w:after="0" w:before="60"/>
      </w:pPr>
      <w:r>
        <w:t xml:space="preserve"/>
      </w:r>
    </w:p>
    <w:p>
      <w:pPr>
        <w:spacing w:after="60" w:before="60"/>
      </w:pPr>
      <w:r>
        <w:rPr>
          <w:rFonts w:ascii="Arial" w:cs="Arial" w:eastAsia="Arial" w:hAnsi="Arial"/>
          <w:b w:val="false"/>
          <w:bCs w:val="false"/>
          <w:color w:val="222222"/>
          <w:sz w:val="20"/>
          <w:szCs w:val="20"/>
        </w:rPr>
        <w:t xml:space="preserve">Fensis does not need a complex cybersecurity department to reduce its current exposure. It needs clear ownership, basic account protection, proper storage of critical business records, simple incident procedures, regular leadership visibility, and staff awareness. These are achievable within existing resources and budget.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DADA" w:val="clear"/>
            <w:tcMar>
              <w:top w:type="dxa" w:w="120"/>
              <w:left w:type="dxa" w:w="160"/>
              <w:bottom w:type="dxa" w:w="120"/>
              <w:right w:type="dxa" w:w="160"/>
            </w:tcMar>
          </w:tcPr>
          <w:p>
            <w:pPr>
              <w:spacing w:after="0" w:before="0"/>
            </w:pPr>
            <w:r>
              <w:rPr>
                <w:rFonts w:ascii="Arial" w:cs="Arial" w:eastAsia="Arial" w:hAnsi="Arial"/>
                <w:b/>
                <w:bCs/>
                <w:color w:val="C00000"/>
                <w:sz w:val="20"/>
                <w:szCs w:val="20"/>
              </w:rPr>
              <w:t xml:space="preserve">The immediate decision for leadership is to approve the 180-day cybersecurity improvement roadmap, assign the Cybersecurity Risk Owner, and begin the first six controls within 30 days.</w:t>
            </w:r>
          </w:p>
        </w:tc>
      </w:tr>
    </w:tbl>
    <w:p>
      <w:pPr>
        <w:spacing w:after="0" w:before="80"/>
      </w:pPr>
      <w:r>
        <w:t xml:space="preserve"/>
      </w:r>
    </w:p>
    <w:p>
      <w:pPr>
        <w:pBdr>
          <w:top w:val="single" w:color="CCCCCC" w:sz="4" w:space="1"/>
        </w:pBdr>
        <w:spacing w:after="0" w:before="80"/>
        <w:jc w:val="center"/>
      </w:pPr>
      <w:r>
        <w:rPr>
          <w:rFonts w:ascii="Arial" w:cs="Arial" w:eastAsia="Arial" w:hAnsi="Arial"/>
          <w:i/>
          <w:iCs/>
          <w:color w:val="888888"/>
          <w:sz w:val="14"/>
          <w:szCs w:val="14"/>
        </w:rPr>
        <w:t xml:space="preserve">Prepared by Breck Agyekum  |  GRC Consultant  |  kwakubreck@gmail.com  |  linkedin.com/in/breck-agyekum  |  Fensis Limited  |  NIST CSF 2.0</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80"/>
    </w:pPr>
    <w:r>
      <w:rPr>
        <w:rFonts w:ascii="Arial" w:cs="Arial" w:eastAsia="Arial" w:hAnsi="Arial"/>
        <w:color w:val="999999"/>
        <w:sz w:val="14"/>
        <w:szCs w:val="14"/>
      </w:rPr>
      <w:t xml:space="preserve">CONFIDENTIAL  |  </w:t>
    </w:r>
    <w:r>
      <w:rPr>
        <w:rFonts w:ascii="Arial" w:cs="Arial" w:eastAsia="Arial" w:hAnsi="Arial"/>
        <w:color w:val="888888"/>
        <w:sz w:val="14"/>
        <w:szCs w:val="14"/>
      </w:rPr>
      <w:t xml:space="preserve">Executive Summary — Cybersecurity Strategy and GRC Improvement Roadmap  |  Fensis Limited  |  NIST CSF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2026-04-26T04:13:30.252Z</dcterms:created>
  <dcterms:modified xsi:type="dcterms:W3CDTF">2026-04-26T04:13:30.254Z</dcterms:modified>
</cp:coreProperties>
</file>

<file path=docProps/custom.xml><?xml version="1.0" encoding="utf-8"?>
<Properties xmlns="http://schemas.openxmlformats.org/officeDocument/2006/custom-properties" xmlns:vt="http://schemas.openxmlformats.org/officeDocument/2006/docPropsVTypes"/>
</file>