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CCCCC" w:sz="1"/>
              <w:right w:val="none" w:color="FFFFFF" w:sz="0"/>
            </w:tcBorders>
            <w:shd w:fill="1F4E79" w:val="clear"/>
            <w:tcMar>
              <w:top w:type="dxa" w:w="400"/>
              <w:left w:type="dxa" w:w="300"/>
              <w:bottom w:type="dxa" w:w="400"/>
              <w:right w:type="dxa" w:w="300"/>
            </w:tcMar>
          </w:tcPr>
          <w:p>
            <w:pPr>
              <w:jc w:val="center"/>
            </w:pPr>
            <w:r>
              <w:rPr>
                <w:rFonts w:ascii="Arial" w:cs="Arial" w:eastAsia="Arial" w:hAnsi="Arial"/>
                <w:b/>
                <w:bCs/>
                <w:caps/>
                <w:color w:val="D6E4F0"/>
                <w:sz w:val="20"/>
                <w:szCs w:val="20"/>
              </w:rPr>
              <w:t xml:space="preserve">THIRD-PARTY RISK ASSESSMENT</w:t>
            </w:r>
          </w:p>
          <w:p>
            <w:pPr>
              <w:spacing w:before="60" w:after="40" w:line="280"/>
              <w:jc w:val="center"/>
            </w:pPr>
            <w:r>
              <w:rPr>
                <w:rFonts w:ascii="Arial" w:cs="Arial" w:eastAsia="Arial" w:hAnsi="Arial"/>
                <w:b/>
                <w:bCs/>
                <w:color w:val="FFFFFF"/>
                <w:sz w:val="48"/>
                <w:szCs w:val="48"/>
              </w:rPr>
              <w:t xml:space="preserve">Completed Vendor Assessment Report</w:t>
            </w:r>
          </w:p>
          <w:p>
            <w:pPr>
              <w:spacing w:before="0" w:after="60" w:line="280"/>
              <w:jc w:val="center"/>
            </w:pPr>
            <w:r>
              <w:rPr>
                <w:rFonts w:ascii="Arial" w:cs="Arial" w:eastAsia="Arial" w:hAnsi="Arial"/>
                <w:b/>
                <w:bCs/>
                <w:color w:val="D6E4F0"/>
                <w:sz w:val="36"/>
                <w:szCs w:val="36"/>
              </w:rPr>
              <w:t xml:space="preserve">Fensis Limited</w:t>
            </w:r>
          </w:p>
          <w:p>
            <w:pPr>
              <w:spacing w:before="80" w:after="20" w:line="280"/>
              <w:jc w:val="center"/>
            </w:pPr>
            <w:r>
              <w:rPr>
                <w:rFonts w:ascii="Arial" w:cs="Arial" w:eastAsia="Arial" w:hAnsi="Arial"/>
                <w:color w:val="D6E4F0"/>
                <w:sz w:val="20"/>
                <w:szCs w:val="20"/>
              </w:rPr>
              <w:t xml:space="preserve">Vendors Assessed: Hikvision  |  Dahua  |  Nemtek  |  Centurion</w:t>
            </w:r>
          </w:p>
          <w:p>
            <w:pPr>
              <w:spacing w:before="0" w:after="20" w:line="280"/>
              <w:jc w:val="center"/>
            </w:pPr>
            <w:r>
              <w:rPr>
                <w:rFonts w:ascii="Arial" w:cs="Arial" w:eastAsia="Arial" w:hAnsi="Arial"/>
                <w:color w:val="D6E4F0"/>
                <w:sz w:val="18"/>
                <w:szCs w:val="18"/>
              </w:rPr>
              <w:t xml:space="preserve">Framework: NIST CSF 2.0 — GV.SC (Cybersecurity Supply Chain Risk Management)</w:t>
            </w:r>
          </w:p>
          <w:p>
            <w:pPr>
              <w:spacing w:before="40" w:after="80" w:line="280"/>
              <w:jc w:val="center"/>
            </w:pPr>
            <w:r>
              <w:rPr>
                <w:rFonts w:ascii="Arial" w:cs="Arial" w:eastAsia="Arial" w:hAnsi="Arial"/>
                <w:i/>
                <w:iCs/>
                <w:color w:val="D6E4F0"/>
                <w:sz w:val="18"/>
                <w:szCs w:val="18"/>
              </w:rPr>
              <w:t xml:space="preserve">Assessment Method: Desk-Based Review Using Publicly Available Information</w:t>
            </w:r>
          </w:p>
        </w:tc>
      </w:tr>
    </w:tbl>
    <w:p>
      <w:pPr>
        <w:spacing w:before="40" w:after="40" w:line="280"/>
      </w:pPr>
      <w:r>
        <w:t xml:space="preserve"/>
      </w:r>
    </w:p>
    <w:p>
      <w:pPr>
        <w:spacing w:before="40" w:after="40" w:line="280"/>
      </w:pPr>
      <w:r>
        <w:t xml:space="preserve"/>
      </w:r>
    </w:p>
    <w:p>
      <w:pPr>
        <w:spacing w:before="280" w:after="80" w:line="280"/>
      </w:pPr>
      <w:r>
        <w:rPr>
          <w:rFonts w:ascii="Arial" w:cs="Arial" w:eastAsia="Arial" w:hAnsi="Arial"/>
          <w:b/>
          <w:bCs/>
          <w:color w:val="1F4E79"/>
          <w:sz w:val="32"/>
          <w:szCs w:val="32"/>
        </w:rPr>
        <w:t xml:space="preserve">Vendor Risk Summary</w:t>
      </w:r>
    </w:p>
    <w:p>
      <w:pPr>
        <w:spacing w:before="60" w:after="60" w:line="280"/>
      </w:pPr>
      <w:r>
        <w:rPr>
          <w:rFonts w:ascii="Arial" w:cs="Arial" w:eastAsia="Arial" w:hAnsi="Arial"/>
          <w:b w:val="false"/>
          <w:bCs w:val="false"/>
          <w:color w:val="333333"/>
          <w:sz w:val="20"/>
          <w:szCs w:val="20"/>
        </w:rPr>
        <w:t xml:space="preserve">This assessment was conducted as a desk-based review using publicly available information including vendor websites, product documentation, security advisories, CVE databases, government regulatory publications, and industry reports. Direct vendor responses were not obtained. This represents a preliminary risk profile. Direct vendor engagement is recommended as a follow-up action for HIGH-rated vendors.</w:t>
      </w:r>
    </w:p>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200"/>
        <w:gridCol w:w="1200"/>
        <w:gridCol w:w="25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80"/>
            </w:tcMar>
          </w:tcPr>
          <w:p>
            <w:r>
              <w:rPr>
                <w:rFonts w:ascii="Arial" w:cs="Arial" w:eastAsia="Arial" w:hAnsi="Arial"/>
                <w:b/>
                <w:bCs/>
                <w:color w:val="FFFFFF"/>
                <w:sz w:val="18"/>
                <w:szCs w:val="18"/>
              </w:rPr>
              <w:t xml:space="preserve">Vendor</w:t>
            </w:r>
          </w:p>
        </w:tc>
        <w:tc>
          <w:tcPr>
            <w:tcW w:type="dxa" w:w="12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16"/>
                <w:szCs w:val="16"/>
              </w:rPr>
              <w:t xml:space="preserve">Product Security</w:t>
            </w:r>
          </w:p>
        </w:tc>
        <w:tc>
          <w:tcPr>
            <w:tcW w:type="dxa" w:w="12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16"/>
                <w:szCs w:val="16"/>
              </w:rPr>
              <w:t xml:space="preserve">Regulatory Risk</w:t>
            </w:r>
          </w:p>
        </w:tc>
        <w:tc>
          <w:tcPr>
            <w:tcW w:type="dxa" w:w="12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16"/>
                <w:szCs w:val="16"/>
              </w:rPr>
              <w:t xml:space="preserve">Data Handling</w:t>
            </w:r>
          </w:p>
        </w:tc>
        <w:tc>
          <w:tcPr>
            <w:tcW w:type="dxa" w:w="12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16"/>
                <w:szCs w:val="16"/>
              </w:rPr>
              <w:t xml:space="preserve">Service Continuity</w:t>
            </w:r>
          </w:p>
        </w:tc>
        <w:tc>
          <w:tcPr>
            <w:tcW w:type="dxa" w:w="256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16"/>
                <w:szCs w:val="16"/>
              </w:rPr>
              <w:t xml:space="preserve">Overall Rating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bCs/>
                <w:color w:val="333333"/>
                <w:sz w:val="18"/>
                <w:szCs w:val="18"/>
              </w:rPr>
              <w:t xml:space="preserve">Hikvision</w:t>
            </w:r>
          </w:p>
        </w:tc>
        <w:tc>
          <w:tcPr>
            <w:tcW w:type="dxa" w:w="1200"/>
            <w:tcBorders>
              <w:top w:val="single" w:color="CCCCCC" w:sz="1"/>
              <w:left w:val="single" w:color="CCCCCC" w:sz="1"/>
              <w:bottom w:val="single" w:color="CCCCCC" w:sz="1"/>
              <w:right w:val="single" w:color="CCCCCC" w:sz="1"/>
            </w:tcBorders>
            <w:shd w:fill="DCE9F8" w:val="clear"/>
            <w:tcMar>
              <w:top w:type="dxa" w:w="80"/>
              <w:left w:type="dxa" w:w="80"/>
              <w:bottom w:type="dxa" w:w="80"/>
              <w:right w:type="dxa" w:w="80"/>
            </w:tcMar>
          </w:tcPr>
          <w:p>
            <w:pPr>
              <w:jc w:val="center"/>
            </w:pPr>
            <w:r>
              <w:rPr>
                <w:rFonts w:ascii="Arial" w:cs="Arial" w:eastAsia="Arial" w:hAnsi="Arial"/>
                <w:b/>
                <w:bCs/>
                <w:color w:val="1A5EA8"/>
                <w:sz w:val="16"/>
                <w:szCs w:val="16"/>
              </w:rPr>
              <w:t xml:space="preserve">MEDIUM</w:t>
            </w:r>
          </w:p>
        </w:tc>
        <w:tc>
          <w:tcPr>
            <w:tcW w:type="dxa" w:w="1200"/>
            <w:tcBorders>
              <w:top w:val="single" w:color="CCCCCC" w:sz="1"/>
              <w:left w:val="single" w:color="CCCCCC" w:sz="1"/>
              <w:bottom w:val="single" w:color="CCCCCC" w:sz="1"/>
              <w:right w:val="single" w:color="CCCCCC" w:sz="1"/>
            </w:tcBorders>
            <w:shd w:fill="FDDADA" w:val="clear"/>
            <w:tcMar>
              <w:top w:type="dxa" w:w="80"/>
              <w:left w:type="dxa" w:w="80"/>
              <w:bottom w:type="dxa" w:w="80"/>
              <w:right w:type="dxa" w:w="80"/>
            </w:tcMar>
          </w:tcPr>
          <w:p>
            <w:pPr>
              <w:jc w:val="center"/>
            </w:pPr>
            <w:r>
              <w:rPr>
                <w:rFonts w:ascii="Arial" w:cs="Arial" w:eastAsia="Arial" w:hAnsi="Arial"/>
                <w:b/>
                <w:bCs/>
                <w:color w:val="C00000"/>
                <w:sz w:val="16"/>
                <w:szCs w:val="16"/>
              </w:rPr>
              <w:t xml:space="preserve">HIGH</w:t>
            </w:r>
          </w:p>
        </w:tc>
        <w:tc>
          <w:tcPr>
            <w:tcW w:type="dxa" w:w="1200"/>
            <w:tcBorders>
              <w:top w:val="single" w:color="CCCCCC" w:sz="1"/>
              <w:left w:val="single" w:color="CCCCCC" w:sz="1"/>
              <w:bottom w:val="single" w:color="CCCCCC" w:sz="1"/>
              <w:right w:val="single" w:color="CCCCCC" w:sz="1"/>
            </w:tcBorders>
            <w:shd w:fill="FDDADA" w:val="clear"/>
            <w:tcMar>
              <w:top w:type="dxa" w:w="80"/>
              <w:left w:type="dxa" w:w="80"/>
              <w:bottom w:type="dxa" w:w="80"/>
              <w:right w:type="dxa" w:w="80"/>
            </w:tcMar>
          </w:tcPr>
          <w:p>
            <w:pPr>
              <w:jc w:val="center"/>
            </w:pPr>
            <w:r>
              <w:rPr>
                <w:rFonts w:ascii="Arial" w:cs="Arial" w:eastAsia="Arial" w:hAnsi="Arial"/>
                <w:b/>
                <w:bCs/>
                <w:color w:val="C00000"/>
                <w:sz w:val="16"/>
                <w:szCs w:val="16"/>
              </w:rPr>
              <w:t xml:space="preserve">HIGH</w:t>
            </w:r>
          </w:p>
        </w:tc>
        <w:tc>
          <w:tcPr>
            <w:tcW w:type="dxa" w:w="1200"/>
            <w:tcBorders>
              <w:top w:val="single" w:color="CCCCCC" w:sz="1"/>
              <w:left w:val="single" w:color="CCCCCC" w:sz="1"/>
              <w:bottom w:val="single" w:color="CCCCCC" w:sz="1"/>
              <w:right w:val="single" w:color="CCCCCC" w:sz="1"/>
            </w:tcBorders>
            <w:shd w:fill="DCE9F8" w:val="clear"/>
            <w:tcMar>
              <w:top w:type="dxa" w:w="80"/>
              <w:left w:type="dxa" w:w="80"/>
              <w:bottom w:type="dxa" w:w="80"/>
              <w:right w:type="dxa" w:w="80"/>
            </w:tcMar>
          </w:tcPr>
          <w:p>
            <w:pPr>
              <w:jc w:val="center"/>
            </w:pPr>
            <w:r>
              <w:rPr>
                <w:rFonts w:ascii="Arial" w:cs="Arial" w:eastAsia="Arial" w:hAnsi="Arial"/>
                <w:b/>
                <w:bCs/>
                <w:color w:val="1A5EA8"/>
                <w:sz w:val="16"/>
                <w:szCs w:val="16"/>
              </w:rPr>
              <w:t xml:space="preserve">MEDIUM</w:t>
            </w:r>
          </w:p>
        </w:tc>
        <w:tc>
          <w:tcPr>
            <w:tcW w:type="dxa" w:w="2560"/>
            <w:tcBorders>
              <w:top w:val="single" w:color="CCCCCC" w:sz="1"/>
              <w:left w:val="single" w:color="CCCCCC" w:sz="1"/>
              <w:bottom w:val="single" w:color="CCCCCC" w:sz="1"/>
              <w:right w:val="single" w:color="CCCCCC" w:sz="1"/>
            </w:tcBorders>
            <w:shd w:fill="FDDADA" w:val="clear"/>
            <w:tcMar>
              <w:top w:type="dxa" w:w="80"/>
              <w:left w:type="dxa" w:w="80"/>
              <w:bottom w:type="dxa" w:w="80"/>
              <w:right w:type="dxa" w:w="80"/>
            </w:tcMar>
          </w:tcPr>
          <w:p>
            <w:pPr>
              <w:jc w:val="center"/>
            </w:pPr>
            <w:r>
              <w:rPr>
                <w:rFonts w:ascii="Arial" w:cs="Arial" w:eastAsia="Arial" w:hAnsi="Arial"/>
                <w:b/>
                <w:bCs/>
                <w:color w:val="C00000"/>
                <w:sz w:val="16"/>
                <w:szCs w:val="16"/>
              </w:rPr>
              <w:t xml:space="preserve">HIGH RISK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333333"/>
                <w:sz w:val="18"/>
                <w:szCs w:val="18"/>
              </w:rPr>
              <w:t xml:space="preserve">Dahua</w:t>
            </w:r>
          </w:p>
        </w:tc>
        <w:tc>
          <w:tcPr>
            <w:tcW w:type="dxa" w:w="1200"/>
            <w:tcBorders>
              <w:top w:val="single" w:color="CCCCCC" w:sz="1"/>
              <w:left w:val="single" w:color="CCCCCC" w:sz="1"/>
              <w:bottom w:val="single" w:color="CCCCCC" w:sz="1"/>
              <w:right w:val="single" w:color="CCCCCC" w:sz="1"/>
            </w:tcBorders>
            <w:shd w:fill="DCE9F8" w:val="clear"/>
            <w:tcMar>
              <w:top w:type="dxa" w:w="80"/>
              <w:left w:type="dxa" w:w="80"/>
              <w:bottom w:type="dxa" w:w="80"/>
              <w:right w:type="dxa" w:w="80"/>
            </w:tcMar>
          </w:tcPr>
          <w:p>
            <w:pPr>
              <w:jc w:val="center"/>
            </w:pPr>
            <w:r>
              <w:rPr>
                <w:rFonts w:ascii="Arial" w:cs="Arial" w:eastAsia="Arial" w:hAnsi="Arial"/>
                <w:b/>
                <w:bCs/>
                <w:color w:val="1A5EA8"/>
                <w:sz w:val="16"/>
                <w:szCs w:val="16"/>
              </w:rPr>
              <w:t xml:space="preserve">MEDIUM</w:t>
            </w:r>
          </w:p>
        </w:tc>
        <w:tc>
          <w:tcPr>
            <w:tcW w:type="dxa" w:w="1200"/>
            <w:tcBorders>
              <w:top w:val="single" w:color="CCCCCC" w:sz="1"/>
              <w:left w:val="single" w:color="CCCCCC" w:sz="1"/>
              <w:bottom w:val="single" w:color="CCCCCC" w:sz="1"/>
              <w:right w:val="single" w:color="CCCCCC" w:sz="1"/>
            </w:tcBorders>
            <w:shd w:fill="FDDADA" w:val="clear"/>
            <w:tcMar>
              <w:top w:type="dxa" w:w="80"/>
              <w:left w:type="dxa" w:w="80"/>
              <w:bottom w:type="dxa" w:w="80"/>
              <w:right w:type="dxa" w:w="80"/>
            </w:tcMar>
          </w:tcPr>
          <w:p>
            <w:pPr>
              <w:jc w:val="center"/>
            </w:pPr>
            <w:r>
              <w:rPr>
                <w:rFonts w:ascii="Arial" w:cs="Arial" w:eastAsia="Arial" w:hAnsi="Arial"/>
                <w:b/>
                <w:bCs/>
                <w:color w:val="C00000"/>
                <w:sz w:val="16"/>
                <w:szCs w:val="16"/>
              </w:rPr>
              <w:t xml:space="preserve">HIGH</w:t>
            </w:r>
          </w:p>
        </w:tc>
        <w:tc>
          <w:tcPr>
            <w:tcW w:type="dxa" w:w="1200"/>
            <w:tcBorders>
              <w:top w:val="single" w:color="CCCCCC" w:sz="1"/>
              <w:left w:val="single" w:color="CCCCCC" w:sz="1"/>
              <w:bottom w:val="single" w:color="CCCCCC" w:sz="1"/>
              <w:right w:val="single" w:color="CCCCCC" w:sz="1"/>
            </w:tcBorders>
            <w:shd w:fill="FDDADA" w:val="clear"/>
            <w:tcMar>
              <w:top w:type="dxa" w:w="80"/>
              <w:left w:type="dxa" w:w="80"/>
              <w:bottom w:type="dxa" w:w="80"/>
              <w:right w:type="dxa" w:w="80"/>
            </w:tcMar>
          </w:tcPr>
          <w:p>
            <w:pPr>
              <w:jc w:val="center"/>
            </w:pPr>
            <w:r>
              <w:rPr>
                <w:rFonts w:ascii="Arial" w:cs="Arial" w:eastAsia="Arial" w:hAnsi="Arial"/>
                <w:b/>
                <w:bCs/>
                <w:color w:val="C00000"/>
                <w:sz w:val="16"/>
                <w:szCs w:val="16"/>
              </w:rPr>
              <w:t xml:space="preserve">HIGH</w:t>
            </w:r>
          </w:p>
        </w:tc>
        <w:tc>
          <w:tcPr>
            <w:tcW w:type="dxa" w:w="1200"/>
            <w:tcBorders>
              <w:top w:val="single" w:color="CCCCCC" w:sz="1"/>
              <w:left w:val="single" w:color="CCCCCC" w:sz="1"/>
              <w:bottom w:val="single" w:color="CCCCCC" w:sz="1"/>
              <w:right w:val="single" w:color="CCCCCC" w:sz="1"/>
            </w:tcBorders>
            <w:shd w:fill="DCE9F8" w:val="clear"/>
            <w:tcMar>
              <w:top w:type="dxa" w:w="80"/>
              <w:left w:type="dxa" w:w="80"/>
              <w:bottom w:type="dxa" w:w="80"/>
              <w:right w:type="dxa" w:w="80"/>
            </w:tcMar>
          </w:tcPr>
          <w:p>
            <w:pPr>
              <w:jc w:val="center"/>
            </w:pPr>
            <w:r>
              <w:rPr>
                <w:rFonts w:ascii="Arial" w:cs="Arial" w:eastAsia="Arial" w:hAnsi="Arial"/>
                <w:b/>
                <w:bCs/>
                <w:color w:val="1A5EA8"/>
                <w:sz w:val="16"/>
                <w:szCs w:val="16"/>
              </w:rPr>
              <w:t xml:space="preserve">MEDIUM</w:t>
            </w:r>
          </w:p>
        </w:tc>
        <w:tc>
          <w:tcPr>
            <w:tcW w:type="dxa" w:w="2560"/>
            <w:tcBorders>
              <w:top w:val="single" w:color="CCCCCC" w:sz="1"/>
              <w:left w:val="single" w:color="CCCCCC" w:sz="1"/>
              <w:bottom w:val="single" w:color="CCCCCC" w:sz="1"/>
              <w:right w:val="single" w:color="CCCCCC" w:sz="1"/>
            </w:tcBorders>
            <w:shd w:fill="FDDADA" w:val="clear"/>
            <w:tcMar>
              <w:top w:type="dxa" w:w="80"/>
              <w:left w:type="dxa" w:w="80"/>
              <w:bottom w:type="dxa" w:w="80"/>
              <w:right w:type="dxa" w:w="80"/>
            </w:tcMar>
          </w:tcPr>
          <w:p>
            <w:pPr>
              <w:jc w:val="center"/>
            </w:pPr>
            <w:r>
              <w:rPr>
                <w:rFonts w:ascii="Arial" w:cs="Arial" w:eastAsia="Arial" w:hAnsi="Arial"/>
                <w:b/>
                <w:bCs/>
                <w:color w:val="C00000"/>
                <w:sz w:val="16"/>
                <w:szCs w:val="16"/>
              </w:rPr>
              <w:t xml:space="preserve">HIGH RISK</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bCs/>
                <w:color w:val="333333"/>
                <w:sz w:val="18"/>
                <w:szCs w:val="18"/>
              </w:rPr>
              <w:t xml:space="preserve">Nemtek</w:t>
            </w:r>
          </w:p>
        </w:tc>
        <w:tc>
          <w:tcPr>
            <w:tcW w:type="dxa" w:w="1200"/>
            <w:tcBorders>
              <w:top w:val="single" w:color="CCCCCC" w:sz="1"/>
              <w:left w:val="single" w:color="CCCCCC" w:sz="1"/>
              <w:bottom w:val="single" w:color="CCCCCC" w:sz="1"/>
              <w:right w:val="single" w:color="CCCCCC" w:sz="1"/>
            </w:tcBorders>
            <w:shd w:fill="E5F3E6" w:val="clear"/>
            <w:tcMar>
              <w:top w:type="dxa" w:w="80"/>
              <w:left w:type="dxa" w:w="80"/>
              <w:bottom w:type="dxa" w:w="80"/>
              <w:right w:type="dxa" w:w="80"/>
            </w:tcMar>
          </w:tcPr>
          <w:p>
            <w:pPr>
              <w:jc w:val="center"/>
            </w:pPr>
            <w:r>
              <w:rPr>
                <w:rFonts w:ascii="Arial" w:cs="Arial" w:eastAsia="Arial" w:hAnsi="Arial"/>
                <w:b/>
                <w:bCs/>
                <w:color w:val="2E7D32"/>
                <w:sz w:val="16"/>
                <w:szCs w:val="16"/>
              </w:rPr>
              <w:t xml:space="preserve">LOW</w:t>
            </w:r>
          </w:p>
        </w:tc>
        <w:tc>
          <w:tcPr>
            <w:tcW w:type="dxa" w:w="1200"/>
            <w:tcBorders>
              <w:top w:val="single" w:color="CCCCCC" w:sz="1"/>
              <w:left w:val="single" w:color="CCCCCC" w:sz="1"/>
              <w:bottom w:val="single" w:color="CCCCCC" w:sz="1"/>
              <w:right w:val="single" w:color="CCCCCC" w:sz="1"/>
            </w:tcBorders>
            <w:shd w:fill="E5F3E6" w:val="clear"/>
            <w:tcMar>
              <w:top w:type="dxa" w:w="80"/>
              <w:left w:type="dxa" w:w="80"/>
              <w:bottom w:type="dxa" w:w="80"/>
              <w:right w:type="dxa" w:w="80"/>
            </w:tcMar>
          </w:tcPr>
          <w:p>
            <w:pPr>
              <w:jc w:val="center"/>
            </w:pPr>
            <w:r>
              <w:rPr>
                <w:rFonts w:ascii="Arial" w:cs="Arial" w:eastAsia="Arial" w:hAnsi="Arial"/>
                <w:b/>
                <w:bCs/>
                <w:color w:val="2E7D32"/>
                <w:sz w:val="16"/>
                <w:szCs w:val="16"/>
              </w:rPr>
              <w:t xml:space="preserve">LOW</w:t>
            </w:r>
          </w:p>
        </w:tc>
        <w:tc>
          <w:tcPr>
            <w:tcW w:type="dxa" w:w="1200"/>
            <w:tcBorders>
              <w:top w:val="single" w:color="CCCCCC" w:sz="1"/>
              <w:left w:val="single" w:color="CCCCCC" w:sz="1"/>
              <w:bottom w:val="single" w:color="CCCCCC" w:sz="1"/>
              <w:right w:val="single" w:color="CCCCCC" w:sz="1"/>
            </w:tcBorders>
            <w:shd w:fill="E5F3E6" w:val="clear"/>
            <w:tcMar>
              <w:top w:type="dxa" w:w="80"/>
              <w:left w:type="dxa" w:w="80"/>
              <w:bottom w:type="dxa" w:w="80"/>
              <w:right w:type="dxa" w:w="80"/>
            </w:tcMar>
          </w:tcPr>
          <w:p>
            <w:pPr>
              <w:jc w:val="center"/>
            </w:pPr>
            <w:r>
              <w:rPr>
                <w:rFonts w:ascii="Arial" w:cs="Arial" w:eastAsia="Arial" w:hAnsi="Arial"/>
                <w:b/>
                <w:bCs/>
                <w:color w:val="2E7D32"/>
                <w:sz w:val="16"/>
                <w:szCs w:val="16"/>
              </w:rPr>
              <w:t xml:space="preserve">LOW</w:t>
            </w:r>
          </w:p>
        </w:tc>
        <w:tc>
          <w:tcPr>
            <w:tcW w:type="dxa" w:w="1200"/>
            <w:tcBorders>
              <w:top w:val="single" w:color="CCCCCC" w:sz="1"/>
              <w:left w:val="single" w:color="CCCCCC" w:sz="1"/>
              <w:bottom w:val="single" w:color="CCCCCC" w:sz="1"/>
              <w:right w:val="single" w:color="CCCCCC" w:sz="1"/>
            </w:tcBorders>
            <w:shd w:fill="E5F3E6" w:val="clear"/>
            <w:tcMar>
              <w:top w:type="dxa" w:w="80"/>
              <w:left w:type="dxa" w:w="80"/>
              <w:bottom w:type="dxa" w:w="80"/>
              <w:right w:type="dxa" w:w="80"/>
            </w:tcMar>
          </w:tcPr>
          <w:p>
            <w:pPr>
              <w:jc w:val="center"/>
            </w:pPr>
            <w:r>
              <w:rPr>
                <w:rFonts w:ascii="Arial" w:cs="Arial" w:eastAsia="Arial" w:hAnsi="Arial"/>
                <w:b/>
                <w:bCs/>
                <w:color w:val="2E7D32"/>
                <w:sz w:val="16"/>
                <w:szCs w:val="16"/>
              </w:rPr>
              <w:t xml:space="preserve">LOW</w:t>
            </w:r>
          </w:p>
        </w:tc>
        <w:tc>
          <w:tcPr>
            <w:tcW w:type="dxa" w:w="2560"/>
            <w:tcBorders>
              <w:top w:val="single" w:color="CCCCCC" w:sz="1"/>
              <w:left w:val="single" w:color="CCCCCC" w:sz="1"/>
              <w:bottom w:val="single" w:color="CCCCCC" w:sz="1"/>
              <w:right w:val="single" w:color="CCCCCC" w:sz="1"/>
            </w:tcBorders>
            <w:shd w:fill="E5F3E6" w:val="clear"/>
            <w:tcMar>
              <w:top w:type="dxa" w:w="80"/>
              <w:left w:type="dxa" w:w="80"/>
              <w:bottom w:type="dxa" w:w="80"/>
              <w:right w:type="dxa" w:w="80"/>
            </w:tcMar>
          </w:tcPr>
          <w:p>
            <w:pPr>
              <w:jc w:val="center"/>
            </w:pPr>
            <w:r>
              <w:rPr>
                <w:rFonts w:ascii="Arial" w:cs="Arial" w:eastAsia="Arial" w:hAnsi="Arial"/>
                <w:b/>
                <w:bCs/>
                <w:color w:val="2E7D32"/>
                <w:sz w:val="16"/>
                <w:szCs w:val="16"/>
              </w:rPr>
              <w:t xml:space="preserve">LOW RISK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333333"/>
                <w:sz w:val="18"/>
                <w:szCs w:val="18"/>
              </w:rPr>
              <w:t xml:space="preserve">Centurion</w:t>
            </w:r>
          </w:p>
        </w:tc>
        <w:tc>
          <w:tcPr>
            <w:tcW w:type="dxa" w:w="1200"/>
            <w:tcBorders>
              <w:top w:val="single" w:color="CCCCCC" w:sz="1"/>
              <w:left w:val="single" w:color="CCCCCC" w:sz="1"/>
              <w:bottom w:val="single" w:color="CCCCCC" w:sz="1"/>
              <w:right w:val="single" w:color="CCCCCC" w:sz="1"/>
            </w:tcBorders>
            <w:shd w:fill="E5F3E6" w:val="clear"/>
            <w:tcMar>
              <w:top w:type="dxa" w:w="80"/>
              <w:left w:type="dxa" w:w="80"/>
              <w:bottom w:type="dxa" w:w="80"/>
              <w:right w:type="dxa" w:w="80"/>
            </w:tcMar>
          </w:tcPr>
          <w:p>
            <w:pPr>
              <w:jc w:val="center"/>
            </w:pPr>
            <w:r>
              <w:rPr>
                <w:rFonts w:ascii="Arial" w:cs="Arial" w:eastAsia="Arial" w:hAnsi="Arial"/>
                <w:b/>
                <w:bCs/>
                <w:color w:val="2E7D32"/>
                <w:sz w:val="16"/>
                <w:szCs w:val="16"/>
              </w:rPr>
              <w:t xml:space="preserve">LOW</w:t>
            </w:r>
          </w:p>
        </w:tc>
        <w:tc>
          <w:tcPr>
            <w:tcW w:type="dxa" w:w="1200"/>
            <w:tcBorders>
              <w:top w:val="single" w:color="CCCCCC" w:sz="1"/>
              <w:left w:val="single" w:color="CCCCCC" w:sz="1"/>
              <w:bottom w:val="single" w:color="CCCCCC" w:sz="1"/>
              <w:right w:val="single" w:color="CCCCCC" w:sz="1"/>
            </w:tcBorders>
            <w:shd w:fill="E5F3E6" w:val="clear"/>
            <w:tcMar>
              <w:top w:type="dxa" w:w="80"/>
              <w:left w:type="dxa" w:w="80"/>
              <w:bottom w:type="dxa" w:w="80"/>
              <w:right w:type="dxa" w:w="80"/>
            </w:tcMar>
          </w:tcPr>
          <w:p>
            <w:pPr>
              <w:jc w:val="center"/>
            </w:pPr>
            <w:r>
              <w:rPr>
                <w:rFonts w:ascii="Arial" w:cs="Arial" w:eastAsia="Arial" w:hAnsi="Arial"/>
                <w:b/>
                <w:bCs/>
                <w:color w:val="2E7D32"/>
                <w:sz w:val="16"/>
                <w:szCs w:val="16"/>
              </w:rPr>
              <w:t xml:space="preserve">LOW</w:t>
            </w:r>
          </w:p>
        </w:tc>
        <w:tc>
          <w:tcPr>
            <w:tcW w:type="dxa" w:w="1200"/>
            <w:tcBorders>
              <w:top w:val="single" w:color="CCCCCC" w:sz="1"/>
              <w:left w:val="single" w:color="CCCCCC" w:sz="1"/>
              <w:bottom w:val="single" w:color="CCCCCC" w:sz="1"/>
              <w:right w:val="single" w:color="CCCCCC" w:sz="1"/>
            </w:tcBorders>
            <w:shd w:fill="E5F3E6" w:val="clear"/>
            <w:tcMar>
              <w:top w:type="dxa" w:w="80"/>
              <w:left w:type="dxa" w:w="80"/>
              <w:bottom w:type="dxa" w:w="80"/>
              <w:right w:type="dxa" w:w="80"/>
            </w:tcMar>
          </w:tcPr>
          <w:p>
            <w:pPr>
              <w:jc w:val="center"/>
            </w:pPr>
            <w:r>
              <w:rPr>
                <w:rFonts w:ascii="Arial" w:cs="Arial" w:eastAsia="Arial" w:hAnsi="Arial"/>
                <w:b/>
                <w:bCs/>
                <w:color w:val="2E7D32"/>
                <w:sz w:val="16"/>
                <w:szCs w:val="16"/>
              </w:rPr>
              <w:t xml:space="preserve">LOW</w:t>
            </w:r>
          </w:p>
        </w:tc>
        <w:tc>
          <w:tcPr>
            <w:tcW w:type="dxa" w:w="1200"/>
            <w:tcBorders>
              <w:top w:val="single" w:color="CCCCCC" w:sz="1"/>
              <w:left w:val="single" w:color="CCCCCC" w:sz="1"/>
              <w:bottom w:val="single" w:color="CCCCCC" w:sz="1"/>
              <w:right w:val="single" w:color="CCCCCC" w:sz="1"/>
            </w:tcBorders>
            <w:shd w:fill="E5F3E6" w:val="clear"/>
            <w:tcMar>
              <w:top w:type="dxa" w:w="80"/>
              <w:left w:type="dxa" w:w="80"/>
              <w:bottom w:type="dxa" w:w="80"/>
              <w:right w:type="dxa" w:w="80"/>
            </w:tcMar>
          </w:tcPr>
          <w:p>
            <w:pPr>
              <w:jc w:val="center"/>
            </w:pPr>
            <w:r>
              <w:rPr>
                <w:rFonts w:ascii="Arial" w:cs="Arial" w:eastAsia="Arial" w:hAnsi="Arial"/>
                <w:b/>
                <w:bCs/>
                <w:color w:val="2E7D32"/>
                <w:sz w:val="16"/>
                <w:szCs w:val="16"/>
              </w:rPr>
              <w:t xml:space="preserve">LOW</w:t>
            </w:r>
          </w:p>
        </w:tc>
        <w:tc>
          <w:tcPr>
            <w:tcW w:type="dxa" w:w="2560"/>
            <w:tcBorders>
              <w:top w:val="single" w:color="CCCCCC" w:sz="1"/>
              <w:left w:val="single" w:color="CCCCCC" w:sz="1"/>
              <w:bottom w:val="single" w:color="CCCCCC" w:sz="1"/>
              <w:right w:val="single" w:color="CCCCCC" w:sz="1"/>
            </w:tcBorders>
            <w:shd w:fill="E5F3E6" w:val="clear"/>
            <w:tcMar>
              <w:top w:type="dxa" w:w="80"/>
              <w:left w:type="dxa" w:w="80"/>
              <w:bottom w:type="dxa" w:w="80"/>
              <w:right w:type="dxa" w:w="80"/>
            </w:tcMar>
          </w:tcPr>
          <w:p>
            <w:pPr>
              <w:jc w:val="center"/>
            </w:pPr>
            <w:r>
              <w:rPr>
                <w:rFonts w:ascii="Arial" w:cs="Arial" w:eastAsia="Arial" w:hAnsi="Arial"/>
                <w:b/>
                <w:bCs/>
                <w:color w:val="2E7D32"/>
                <w:sz w:val="16"/>
                <w:szCs w:val="16"/>
              </w:rPr>
              <w:t xml:space="preserve">LOW RISK</w:t>
            </w:r>
          </w:p>
        </w:tc>
      </w:tr>
    </w:tbl>
    <w:p>
      <w:pPr>
        <w:spacing w:before="40" w:after="40" w:line="2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160"/>
            </w:tcMar>
          </w:tcPr>
          <w:p>
            <w:pPr>
              <w:spacing w:before="0" w:after="20" w:line="280"/>
            </w:pPr>
            <w:r>
              <w:rPr>
                <w:rFonts w:ascii="Arial" w:cs="Arial" w:eastAsia="Arial" w:hAnsi="Arial"/>
                <w:b/>
                <w:bCs/>
                <w:color w:val="FFFFFF"/>
                <w:sz w:val="28"/>
                <w:szCs w:val="28"/>
              </w:rPr>
              <w:t xml:space="preserve">Vendor Assessment: Hikvision (Hangzhou Hikvision Digital Technology Co., Ltd.)</w:t>
            </w:r>
          </w:p>
          <w:p>
            <w:pPr>
              <w:spacing w:before="0" w:after="0" w:line="280"/>
            </w:pPr>
            <w:r>
              <w:rPr>
                <w:rFonts w:ascii="Arial" w:cs="Arial" w:eastAsia="Arial" w:hAnsi="Arial"/>
                <w:color w:val="D6E4F0"/>
                <w:sz w:val="18"/>
                <w:szCs w:val="18"/>
              </w:rPr>
              <w:t xml:space="preserve">Tier: TIER 1 — Critical  |  Products: CCTV cameras, DVRs, NVRs, surveillance systems</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18"/>
                <w:szCs w:val="18"/>
              </w:rPr>
              <w:t xml:space="preserve">Assessment Method: </w:t>
            </w:r>
            <w:r>
              <w:rPr>
                <w:rFonts w:ascii="Arial" w:cs="Arial" w:eastAsia="Arial" w:hAnsi="Arial"/>
                <w:color w:val="333333"/>
                <w:sz w:val="18"/>
                <w:szCs w:val="18"/>
              </w:rPr>
              <w:t xml:space="preserve">Desk-based review using publicly available information — vendor websites, security advisories, CVE databases, regulatory publications, and industry reports.</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SECTION 2 — Product Security and Firmware Management</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Does the vendor provide documented firmware update guidance?</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Yes. Hikvision maintains a Security Advisory Centre at hikvision.com/en/support/cybersecurity publishing firmware updates, patch notes, and affected version lists. Updates are downloadable directly from product pages.</w:t>
            </w:r>
          </w:p>
          <w:p>
            <w:pPr>
              <w:spacing w:before="40" w:after="0" w:line="280"/>
            </w:pPr>
            <w:r>
              <w:rPr>
                <w:rFonts w:ascii="Arial" w:cs="Arial" w:eastAsia="Arial" w:hAnsi="Arial"/>
                <w:b/>
                <w:bCs/>
                <w:color w:val="2E7D32"/>
                <w:sz w:val="16"/>
                <w:szCs w:val="16"/>
              </w:rPr>
              <w:t xml:space="preserve">Assessment: </w:t>
            </w:r>
            <w:r>
              <w:rPr>
                <w:rFonts w:ascii="Arial" w:cs="Arial" w:eastAsia="Arial" w:hAnsi="Arial"/>
                <w:b/>
                <w:bCs/>
                <w:color w:val="2E7D32"/>
                <w:sz w:val="16"/>
                <w:szCs w:val="16"/>
              </w:rPr>
              <w:t xml:space="preserve">LOW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Are firmware updates digitally signed or verified?</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Hikvision is a CVE Numbering Authority (CNA) and works with third-party security researchers. Firmware is distributed through official portals. Documentation on digital signing is limited — partners should source firmware exclusively from official Hikvision channels.</w:t>
            </w:r>
          </w:p>
          <w:p>
            <w:pPr>
              <w:spacing w:before="40" w:after="0" w:line="280"/>
            </w:pPr>
            <w:r>
              <w:rPr>
                <w:rFonts w:ascii="Arial" w:cs="Arial" w:eastAsia="Arial" w:hAnsi="Arial"/>
                <w:b/>
                <w:bCs/>
                <w:color w:val="1A5EA8"/>
                <w:sz w:val="16"/>
                <w:szCs w:val="16"/>
              </w:rPr>
              <w:t xml:space="preserve">Assessment: </w:t>
            </w:r>
            <w:r>
              <w:rPr>
                <w:rFonts w:ascii="Arial" w:cs="Arial" w:eastAsia="Arial" w:hAnsi="Arial"/>
                <w:b/>
                <w:bCs/>
                <w:color w:val="1A5EA8"/>
                <w:sz w:val="16"/>
                <w:szCs w:val="16"/>
              </w:rPr>
              <w:t xml:space="preserve">MEDIUM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Does the vendor maintain a public security advisory page?</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Yes. The Hikvision Security Advisory Centre lists all known CVEs, affected products, and recommended firmware versions. Vulnerabilities can be reported to hsrc@hikvision.com.</w:t>
            </w:r>
          </w:p>
          <w:p>
            <w:pPr>
              <w:spacing w:before="40" w:after="0" w:line="280"/>
            </w:pPr>
            <w:r>
              <w:rPr>
                <w:rFonts w:ascii="Arial" w:cs="Arial" w:eastAsia="Arial" w:hAnsi="Arial"/>
                <w:b/>
                <w:bCs/>
                <w:color w:val="2E7D32"/>
                <w:sz w:val="16"/>
                <w:szCs w:val="16"/>
              </w:rPr>
              <w:t xml:space="preserve">Assessment: </w:t>
            </w:r>
            <w:r>
              <w:rPr>
                <w:rFonts w:ascii="Arial" w:cs="Arial" w:eastAsia="Arial" w:hAnsi="Arial"/>
                <w:b/>
                <w:bCs/>
                <w:color w:val="2E7D32"/>
                <w:sz w:val="16"/>
                <w:szCs w:val="16"/>
              </w:rPr>
              <w:t xml:space="preserve">LOW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What is the vendor's end-of-life product policy?</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End-of-life information is published on product pages but no standardised global policy timeline was publicly confirmed. Fensis should confirm firmware support duration for installed product lines with their authorised distributor.</w:t>
            </w:r>
          </w:p>
          <w:p>
            <w:pPr>
              <w:spacing w:before="40" w:after="0" w:line="280"/>
            </w:pPr>
            <w:r>
              <w:rPr>
                <w:rFonts w:ascii="Arial" w:cs="Arial" w:eastAsia="Arial" w:hAnsi="Arial"/>
                <w:b/>
                <w:bCs/>
                <w:color w:val="1A5EA8"/>
                <w:sz w:val="16"/>
                <w:szCs w:val="16"/>
              </w:rPr>
              <w:t xml:space="preserve">Assessment: </w:t>
            </w:r>
            <w:r>
              <w:rPr>
                <w:rFonts w:ascii="Arial" w:cs="Arial" w:eastAsia="Arial" w:hAnsi="Arial"/>
                <w:b/>
                <w:bCs/>
                <w:color w:val="1A5EA8"/>
                <w:sz w:val="16"/>
                <w:szCs w:val="16"/>
              </w:rPr>
              <w:t xml:space="preserve">MEDIUM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Do product manuals require default credential changes?</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Yes. Hikvision advisories including CVE-2021-36260 explicitly reference default credentials as an exploitable condition and require complex passwords to be set. Enforcement depends on installer practice.</w:t>
            </w:r>
          </w:p>
          <w:p>
            <w:pPr>
              <w:spacing w:before="40" w:after="0" w:line="280"/>
            </w:pPr>
            <w:r>
              <w:rPr>
                <w:rFonts w:ascii="Arial" w:cs="Arial" w:eastAsia="Arial" w:hAnsi="Arial"/>
                <w:b/>
                <w:bCs/>
                <w:color w:val="1A5EA8"/>
                <w:sz w:val="16"/>
                <w:szCs w:val="16"/>
              </w:rPr>
              <w:t xml:space="preserve">Assessment: </w:t>
            </w:r>
            <w:r>
              <w:rPr>
                <w:rFonts w:ascii="Arial" w:cs="Arial" w:eastAsia="Arial" w:hAnsi="Arial"/>
                <w:b/>
                <w:bCs/>
                <w:color w:val="1A5EA8"/>
                <w:sz w:val="16"/>
                <w:szCs w:val="16"/>
              </w:rPr>
              <w:t xml:space="preserve">MEDIUM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SECTION 3 — Vulnerability and Incident Escalation</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What is the vendor's vulnerability notification process for partners?</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Hikvision operates the HSRC and publishes CVE advisories. For critical vulnerabilities including CVE-2021-36260 and CVE-2024-25063, Hikvision issued partner notification letters and firmware patches. Partners are advised to monitor the Security Advisory Centre.</w:t>
            </w:r>
          </w:p>
          <w:p>
            <w:pPr>
              <w:spacing w:before="40" w:after="0" w:line="280"/>
            </w:pPr>
            <w:r>
              <w:rPr>
                <w:rFonts w:ascii="Arial" w:cs="Arial" w:eastAsia="Arial" w:hAnsi="Arial"/>
                <w:b/>
                <w:bCs/>
                <w:color w:val="1A5EA8"/>
                <w:sz w:val="16"/>
                <w:szCs w:val="16"/>
              </w:rPr>
              <w:t xml:space="preserve">Assessment: </w:t>
            </w:r>
            <w:r>
              <w:rPr>
                <w:rFonts w:ascii="Arial" w:cs="Arial" w:eastAsia="Arial" w:hAnsi="Arial"/>
                <w:b/>
                <w:bCs/>
                <w:color w:val="1A5EA8"/>
                <w:sz w:val="16"/>
                <w:szCs w:val="16"/>
              </w:rPr>
              <w:t xml:space="preserve">MEDIUM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Does the vendor operate a vulnerability disclosure or bug bounty programme?</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Yes. Hikvision accepts vulnerability reports via hsrc@hikvision.com and is a registered CVE Numbering Authority. The company acknowledges security researchers in its advisories.</w:t>
            </w:r>
          </w:p>
          <w:p>
            <w:pPr>
              <w:spacing w:before="40" w:after="0" w:line="280"/>
            </w:pPr>
            <w:r>
              <w:rPr>
                <w:rFonts w:ascii="Arial" w:cs="Arial" w:eastAsia="Arial" w:hAnsi="Arial"/>
                <w:b/>
                <w:bCs/>
                <w:color w:val="2E7D32"/>
                <w:sz w:val="16"/>
                <w:szCs w:val="16"/>
              </w:rPr>
              <w:t xml:space="preserve">Assessment: </w:t>
            </w:r>
            <w:r>
              <w:rPr>
                <w:rFonts w:ascii="Arial" w:cs="Arial" w:eastAsia="Arial" w:hAnsi="Arial"/>
                <w:b/>
                <w:bCs/>
                <w:color w:val="2E7D32"/>
                <w:sz w:val="16"/>
                <w:szCs w:val="16"/>
              </w:rPr>
              <w:t xml:space="preserve">LOW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Has the vendor experienced publicly disclosed security incidents in the past three years?</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Yes — multiple. CVE-2024-29949 (NVR vulnerabilities — patched March 2024). CVE-2024-25063 and CVE-2024-25064 (HikCentral Professional unauthorised access — patched 2024). CVE-2021-36260 (critical command injection — widely exploited). A pattern of recurring vulnerabilities requiring active patch management.</w:t>
            </w:r>
          </w:p>
          <w:p>
            <w:pPr>
              <w:spacing w:before="40" w:after="0" w:line="280"/>
            </w:pPr>
            <w:r>
              <w:rPr>
                <w:rFonts w:ascii="Arial" w:cs="Arial" w:eastAsia="Arial" w:hAnsi="Arial"/>
                <w:b/>
                <w:bCs/>
                <w:color w:val="C00000"/>
                <w:sz w:val="16"/>
                <w:szCs w:val="16"/>
              </w:rPr>
              <w:t xml:space="preserve">Assessment: </w:t>
            </w:r>
            <w:r>
              <w:rPr>
                <w:rFonts w:ascii="Arial" w:cs="Arial" w:eastAsia="Arial" w:hAnsi="Arial"/>
                <w:b/>
                <w:bCs/>
                <w:color w:val="C00000"/>
                <w:sz w:val="16"/>
                <w:szCs w:val="16"/>
              </w:rPr>
              <w:t xml:space="preserve">HIGH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SECTION 4 — Supply Chain Integrity</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Does the vendor operate an authorised distributor programme?</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Yes. Hikvision operates a global authorised partner and distributor programme. Fensis should confirm its authorised distributor status to ensure genuine products and valid warranty coverage.</w:t>
            </w:r>
          </w:p>
          <w:p>
            <w:pPr>
              <w:spacing w:before="40" w:after="0" w:line="280"/>
            </w:pPr>
            <w:r>
              <w:rPr>
                <w:rFonts w:ascii="Arial" w:cs="Arial" w:eastAsia="Arial" w:hAnsi="Arial"/>
                <w:b/>
                <w:bCs/>
                <w:color w:val="2E7D32"/>
                <w:sz w:val="16"/>
                <w:szCs w:val="16"/>
              </w:rPr>
              <w:t xml:space="preserve">Assessment: </w:t>
            </w:r>
            <w:r>
              <w:rPr>
                <w:rFonts w:ascii="Arial" w:cs="Arial" w:eastAsia="Arial" w:hAnsi="Arial"/>
                <w:b/>
                <w:bCs/>
                <w:color w:val="2E7D32"/>
                <w:sz w:val="16"/>
                <w:szCs w:val="16"/>
              </w:rPr>
              <w:t xml:space="preserve">LOW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What mechanisms verify product authenticity?</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Hikvision provides serial number verification at hikvision.com. Counterfeit Hikvision products have been documented in the West African market. All products must be verified through the official portal and sourced from authorised channels only.</w:t>
            </w:r>
          </w:p>
          <w:p>
            <w:pPr>
              <w:spacing w:before="40" w:after="0" w:line="280"/>
            </w:pPr>
            <w:r>
              <w:rPr>
                <w:rFonts w:ascii="Arial" w:cs="Arial" w:eastAsia="Arial" w:hAnsi="Arial"/>
                <w:b/>
                <w:bCs/>
                <w:color w:val="1A5EA8"/>
                <w:sz w:val="16"/>
                <w:szCs w:val="16"/>
              </w:rPr>
              <w:t xml:space="preserve">Assessment: </w:t>
            </w:r>
            <w:r>
              <w:rPr>
                <w:rFonts w:ascii="Arial" w:cs="Arial" w:eastAsia="Arial" w:hAnsi="Arial"/>
                <w:b/>
                <w:bCs/>
                <w:color w:val="1A5EA8"/>
                <w:sz w:val="16"/>
                <w:szCs w:val="16"/>
              </w:rPr>
              <w:t xml:space="preserve">MEDIUM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What quality control standards apply to manufacturing?</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Hikvision holds ISO certifications. However its placement on the US Entity List and FCC Covered List raises questions about manufacturing oversight and supply chain integrity that warrant formal documentation.</w:t>
            </w:r>
          </w:p>
          <w:p>
            <w:pPr>
              <w:spacing w:before="40" w:after="0" w:line="280"/>
            </w:pPr>
            <w:r>
              <w:rPr>
                <w:rFonts w:ascii="Arial" w:cs="Arial" w:eastAsia="Arial" w:hAnsi="Arial"/>
                <w:b/>
                <w:bCs/>
                <w:color w:val="1A5EA8"/>
                <w:sz w:val="16"/>
                <w:szCs w:val="16"/>
              </w:rPr>
              <w:t xml:space="preserve">Assessment: </w:t>
            </w:r>
            <w:r>
              <w:rPr>
                <w:rFonts w:ascii="Arial" w:cs="Arial" w:eastAsia="Arial" w:hAnsi="Arial"/>
                <w:b/>
                <w:bCs/>
                <w:color w:val="1A5EA8"/>
                <w:sz w:val="16"/>
                <w:szCs w:val="16"/>
              </w:rPr>
              <w:t xml:space="preserve">MEDIUM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SECTION 5 — Regulatory and Geopolitical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Has the vendor been subject to procurement bans or regulatory restrictions?</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YES — SIGNIFICANT. Hikvision is named in the US NDAA Section 889 banning federal procurement. It is on the FCC Covered List. The UK government issued guidance in November 2022 ceasing deployment on sensitive sites, with 50% replacement completed by April 2024. Australia ordered removal from government buildings in 2023. Canada has restricted use in federal facilities. The US DC Circuit Court upheld the FCC ban in April 2024 following Hikvision's failed legal challenge. Multiple US states have enacted additional state-level bans.</w:t>
            </w:r>
          </w:p>
          <w:p>
            <w:pPr>
              <w:spacing w:before="40" w:after="0" w:line="280"/>
            </w:pPr>
            <w:r>
              <w:rPr>
                <w:rFonts w:ascii="Arial" w:cs="Arial" w:eastAsia="Arial" w:hAnsi="Arial"/>
                <w:b/>
                <w:bCs/>
                <w:color w:val="C00000"/>
                <w:sz w:val="16"/>
                <w:szCs w:val="16"/>
              </w:rPr>
              <w:t xml:space="preserve">Assessment: </w:t>
            </w:r>
            <w:r>
              <w:rPr>
                <w:rFonts w:ascii="Arial" w:cs="Arial" w:eastAsia="Arial" w:hAnsi="Arial"/>
                <w:b/>
                <w:bCs/>
                <w:color w:val="C00000"/>
                <w:sz w:val="16"/>
                <w:szCs w:val="16"/>
              </w:rPr>
              <w:t xml:space="preserve">HIGH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Does the vendor have ownership or contractual links to a government entity?</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YES. Hikvision is approximately 42% owned by CETHIK Group, a subsidiary of China Electronics Technology Group Corporation (CETC) — a Chinese state-owned enterprise. This state ownership is the primary basis for national security classifications by Western governments.</w:t>
            </w:r>
          </w:p>
          <w:p>
            <w:pPr>
              <w:spacing w:before="40" w:after="0" w:line="280"/>
            </w:pPr>
            <w:r>
              <w:rPr>
                <w:rFonts w:ascii="Arial" w:cs="Arial" w:eastAsia="Arial" w:hAnsi="Arial"/>
                <w:b/>
                <w:bCs/>
                <w:color w:val="C00000"/>
                <w:sz w:val="16"/>
                <w:szCs w:val="16"/>
              </w:rPr>
              <w:t xml:space="preserve">Assessment: </w:t>
            </w:r>
            <w:r>
              <w:rPr>
                <w:rFonts w:ascii="Arial" w:cs="Arial" w:eastAsia="Arial" w:hAnsi="Arial"/>
                <w:b/>
                <w:bCs/>
                <w:color w:val="C00000"/>
                <w:sz w:val="16"/>
                <w:szCs w:val="16"/>
              </w:rPr>
              <w:t xml:space="preserve">HIGH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SECTION 6 — Data Handling</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Does the vendor receive or process data relating to Fensis clients or installed systems?</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Potentially yes for cloud-connected products. Hikvision Hik-Connect may transmit device data and metadata to Hikvision servers. Cloud connectivity should be assessed per client installation and disabled where not required or consented to.</w:t>
            </w:r>
          </w:p>
          <w:p>
            <w:pPr>
              <w:spacing w:before="40" w:after="0" w:line="280"/>
            </w:pPr>
            <w:r>
              <w:rPr>
                <w:rFonts w:ascii="Arial" w:cs="Arial" w:eastAsia="Arial" w:hAnsi="Arial"/>
                <w:b/>
                <w:bCs/>
                <w:color w:val="C00000"/>
                <w:sz w:val="16"/>
                <w:szCs w:val="16"/>
              </w:rPr>
              <w:t xml:space="preserve">Assessment: </w:t>
            </w:r>
            <w:r>
              <w:rPr>
                <w:rFonts w:ascii="Arial" w:cs="Arial" w:eastAsia="Arial" w:hAnsi="Arial"/>
                <w:b/>
                <w:bCs/>
                <w:color w:val="C00000"/>
                <w:sz w:val="16"/>
                <w:szCs w:val="16"/>
              </w:rPr>
              <w:t xml:space="preserve">HIGH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Do vendor products transmit operational data to vendor servers?</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Yes — for cloud-enabled models. Given 42% state ownership, data transmission to Hikvision servers represents a data sovereignty risk particularly for Fensis institutional and government clients.</w:t>
            </w:r>
          </w:p>
          <w:p>
            <w:pPr>
              <w:spacing w:before="40" w:after="0" w:line="280"/>
            </w:pPr>
            <w:r>
              <w:rPr>
                <w:rFonts w:ascii="Arial" w:cs="Arial" w:eastAsia="Arial" w:hAnsi="Arial"/>
                <w:b/>
                <w:bCs/>
                <w:color w:val="C00000"/>
                <w:sz w:val="16"/>
                <w:szCs w:val="16"/>
              </w:rPr>
              <w:t xml:space="preserve">Assessment: </w:t>
            </w:r>
            <w:r>
              <w:rPr>
                <w:rFonts w:ascii="Arial" w:cs="Arial" w:eastAsia="Arial" w:hAnsi="Arial"/>
                <w:b/>
                <w:bCs/>
                <w:color w:val="C00000"/>
                <w:sz w:val="16"/>
                <w:szCs w:val="16"/>
              </w:rPr>
              <w:t xml:space="preserve">HIGH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SECTION 7 — Service Continuity and Support</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What warranty and support terms does the vendor provide?</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Standard Hikvision products carry a manufacturer warranty of one to three years depending on product line. Technical support is available through regional distributors. African warranty and support terms should be confirmed with the authorised regional distributor.</w:t>
            </w:r>
          </w:p>
          <w:p>
            <w:pPr>
              <w:spacing w:before="40" w:after="0" w:line="280"/>
            </w:pPr>
            <w:r>
              <w:rPr>
                <w:rFonts w:ascii="Arial" w:cs="Arial" w:eastAsia="Arial" w:hAnsi="Arial"/>
                <w:b/>
                <w:bCs/>
                <w:color w:val="1A5EA8"/>
                <w:sz w:val="16"/>
                <w:szCs w:val="16"/>
              </w:rPr>
              <w:t xml:space="preserve">Assessment: </w:t>
            </w:r>
            <w:r>
              <w:rPr>
                <w:rFonts w:ascii="Arial" w:cs="Arial" w:eastAsia="Arial" w:hAnsi="Arial"/>
                <w:b/>
                <w:bCs/>
                <w:color w:val="1A5EA8"/>
                <w:sz w:val="16"/>
                <w:szCs w:val="16"/>
              </w:rPr>
              <w:t xml:space="preserve">MEDIUM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Does the vendor provide advance notice of product discontinuation?</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End-of-life notices are published on the Hikvision website. No standardised advance notice period was publicly confirmed. Supply continuity risk is elevated by ongoing regulatory restrictions in multiple markets.</w:t>
            </w:r>
          </w:p>
          <w:p>
            <w:pPr>
              <w:spacing w:before="40" w:after="0" w:line="280"/>
            </w:pPr>
            <w:r>
              <w:rPr>
                <w:rFonts w:ascii="Arial" w:cs="Arial" w:eastAsia="Arial" w:hAnsi="Arial"/>
                <w:b/>
                <w:bCs/>
                <w:color w:val="1A5EA8"/>
                <w:sz w:val="16"/>
                <w:szCs w:val="16"/>
              </w:rPr>
              <w:t xml:space="preserve">Assessment: </w:t>
            </w:r>
            <w:r>
              <w:rPr>
                <w:rFonts w:ascii="Arial" w:cs="Arial" w:eastAsia="Arial" w:hAnsi="Arial"/>
                <w:b/>
                <w:bCs/>
                <w:color w:val="1A5EA8"/>
                <w:sz w:val="16"/>
                <w:szCs w:val="16"/>
              </w:rPr>
              <w:t xml:space="preserve">MEDIUM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Does the vendor have a West African or African regional presence?</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Hikvision has distributor and partner presence across Africa. Regional support for Ghana and West Africa is available through authorised partners. Quality and responsiveness of regional support should be verified by Fensis directly.</w:t>
            </w:r>
          </w:p>
          <w:p>
            <w:pPr>
              <w:spacing w:before="40" w:after="0" w:line="280"/>
            </w:pPr>
            <w:r>
              <w:rPr>
                <w:rFonts w:ascii="Arial" w:cs="Arial" w:eastAsia="Arial" w:hAnsi="Arial"/>
                <w:b/>
                <w:bCs/>
                <w:color w:val="1A5EA8"/>
                <w:sz w:val="16"/>
                <w:szCs w:val="16"/>
              </w:rPr>
              <w:t xml:space="preserve">Assessment: </w:t>
            </w:r>
            <w:r>
              <w:rPr>
                <w:rFonts w:ascii="Arial" w:cs="Arial" w:eastAsia="Arial" w:hAnsi="Arial"/>
                <w:b/>
                <w:bCs/>
                <w:color w:val="1A5EA8"/>
                <w:sz w:val="16"/>
                <w:szCs w:val="16"/>
              </w:rPr>
              <w:t xml:space="preserve">MEDIUM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0"/>
                <w:szCs w:val="20"/>
              </w:rPr>
              <w:t xml:space="preserve">SECTION 8 — Internal Scoring (Desk-Based Assessment)</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b/>
                <w:bCs/>
                <w:color w:val="333333"/>
                <w:sz w:val="20"/>
                <w:szCs w:val="20"/>
              </w:rPr>
              <w:t xml:space="preserve">Product Security Rating</w:t>
            </w:r>
          </w:p>
        </w:tc>
        <w:tc>
          <w:tcPr>
            <w:tcW w:type="dxa" w:w="3000"/>
            <w:tcBorders>
              <w:top w:val="single" w:color="CCCCCC" w:sz="1"/>
              <w:left w:val="single" w:color="CCCCCC" w:sz="1"/>
              <w:bottom w:val="single" w:color="CCCCCC" w:sz="1"/>
              <w:right w:val="single" w:color="CCCCCC" w:sz="1"/>
            </w:tcBorders>
            <w:shd w:fill="DCE9F8" w:val="clear"/>
            <w:tcMar>
              <w:top w:type="dxa" w:w="80"/>
              <w:left w:type="dxa" w:w="120"/>
              <w:bottom w:type="dxa" w:w="80"/>
              <w:right w:type="dxa" w:w="80"/>
            </w:tcMar>
          </w:tcPr>
          <w:p>
            <w:pPr>
              <w:jc w:val="center"/>
            </w:pPr>
            <w:r>
              <w:rPr>
                <w:rFonts w:ascii="Arial" w:cs="Arial" w:eastAsia="Arial" w:hAnsi="Arial"/>
                <w:b/>
                <w:bCs/>
                <w:color w:val="1A5EA8"/>
                <w:sz w:val="20"/>
                <w:szCs w:val="20"/>
              </w:rPr>
              <w:t xml:space="preserve">MEDIUM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b/>
                <w:bCs/>
                <w:color w:val="333333"/>
                <w:sz w:val="20"/>
                <w:szCs w:val="20"/>
              </w:rPr>
              <w:t xml:space="preserve">Supply Chain Integrity Rating</w:t>
            </w:r>
          </w:p>
        </w:tc>
        <w:tc>
          <w:tcPr>
            <w:tcW w:type="dxa" w:w="3000"/>
            <w:tcBorders>
              <w:top w:val="single" w:color="CCCCCC" w:sz="1"/>
              <w:left w:val="single" w:color="CCCCCC" w:sz="1"/>
              <w:bottom w:val="single" w:color="CCCCCC" w:sz="1"/>
              <w:right w:val="single" w:color="CCCCCC" w:sz="1"/>
            </w:tcBorders>
            <w:shd w:fill="DCE9F8" w:val="clear"/>
            <w:tcMar>
              <w:top w:type="dxa" w:w="80"/>
              <w:left w:type="dxa" w:w="120"/>
              <w:bottom w:type="dxa" w:w="80"/>
              <w:right w:type="dxa" w:w="80"/>
            </w:tcMar>
          </w:tcPr>
          <w:p>
            <w:pPr>
              <w:jc w:val="center"/>
            </w:pPr>
            <w:r>
              <w:rPr>
                <w:rFonts w:ascii="Arial" w:cs="Arial" w:eastAsia="Arial" w:hAnsi="Arial"/>
                <w:b/>
                <w:bCs/>
                <w:color w:val="1A5EA8"/>
                <w:sz w:val="20"/>
                <w:szCs w:val="20"/>
              </w:rPr>
              <w:t xml:space="preserve">MEDIUM RISK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b/>
                <w:bCs/>
                <w:color w:val="333333"/>
                <w:sz w:val="20"/>
                <w:szCs w:val="20"/>
              </w:rPr>
              <w:t xml:space="preserve">Regulatory / Geopolitical Risk</w:t>
            </w:r>
          </w:p>
        </w:tc>
        <w:tc>
          <w:tcPr>
            <w:tcW w:type="dxa" w:w="3000"/>
            <w:tcBorders>
              <w:top w:val="single" w:color="CCCCCC" w:sz="1"/>
              <w:left w:val="single" w:color="CCCCCC" w:sz="1"/>
              <w:bottom w:val="single" w:color="CCCCCC" w:sz="1"/>
              <w:right w:val="single" w:color="CCCCCC" w:sz="1"/>
            </w:tcBorders>
            <w:shd w:fill="FDDADA" w:val="clear"/>
            <w:tcMar>
              <w:top w:type="dxa" w:w="80"/>
              <w:left w:type="dxa" w:w="120"/>
              <w:bottom w:type="dxa" w:w="80"/>
              <w:right w:type="dxa" w:w="80"/>
            </w:tcMar>
          </w:tcPr>
          <w:p>
            <w:pPr>
              <w:jc w:val="center"/>
            </w:pPr>
            <w:r>
              <w:rPr>
                <w:rFonts w:ascii="Arial" w:cs="Arial" w:eastAsia="Arial" w:hAnsi="Arial"/>
                <w:b/>
                <w:bCs/>
                <w:color w:val="C00000"/>
                <w:sz w:val="20"/>
                <w:szCs w:val="20"/>
              </w:rPr>
              <w:t xml:space="preserve">HIGH RISK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b/>
                <w:bCs/>
                <w:color w:val="333333"/>
                <w:sz w:val="20"/>
                <w:szCs w:val="20"/>
              </w:rPr>
              <w:t xml:space="preserve">Data Handling Risk Rating</w:t>
            </w:r>
          </w:p>
        </w:tc>
        <w:tc>
          <w:tcPr>
            <w:tcW w:type="dxa" w:w="3000"/>
            <w:tcBorders>
              <w:top w:val="single" w:color="CCCCCC" w:sz="1"/>
              <w:left w:val="single" w:color="CCCCCC" w:sz="1"/>
              <w:bottom w:val="single" w:color="CCCCCC" w:sz="1"/>
              <w:right w:val="single" w:color="CCCCCC" w:sz="1"/>
            </w:tcBorders>
            <w:shd w:fill="FDDADA" w:val="clear"/>
            <w:tcMar>
              <w:top w:type="dxa" w:w="80"/>
              <w:left w:type="dxa" w:w="120"/>
              <w:bottom w:type="dxa" w:w="80"/>
              <w:right w:type="dxa" w:w="80"/>
            </w:tcMar>
          </w:tcPr>
          <w:p>
            <w:pPr>
              <w:jc w:val="center"/>
            </w:pPr>
            <w:r>
              <w:rPr>
                <w:rFonts w:ascii="Arial" w:cs="Arial" w:eastAsia="Arial" w:hAnsi="Arial"/>
                <w:b/>
                <w:bCs/>
                <w:color w:val="C00000"/>
                <w:sz w:val="20"/>
                <w:szCs w:val="20"/>
              </w:rPr>
              <w:t xml:space="preserve">HIGH RISK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b/>
                <w:bCs/>
                <w:color w:val="333333"/>
                <w:sz w:val="20"/>
                <w:szCs w:val="20"/>
              </w:rPr>
              <w:t xml:space="preserve">Service Continuity Rating</w:t>
            </w:r>
          </w:p>
        </w:tc>
        <w:tc>
          <w:tcPr>
            <w:tcW w:type="dxa" w:w="3000"/>
            <w:tcBorders>
              <w:top w:val="single" w:color="CCCCCC" w:sz="1"/>
              <w:left w:val="single" w:color="CCCCCC" w:sz="1"/>
              <w:bottom w:val="single" w:color="CCCCCC" w:sz="1"/>
              <w:right w:val="single" w:color="CCCCCC" w:sz="1"/>
            </w:tcBorders>
            <w:shd w:fill="DCE9F8" w:val="clear"/>
            <w:tcMar>
              <w:top w:type="dxa" w:w="80"/>
              <w:left w:type="dxa" w:w="120"/>
              <w:bottom w:type="dxa" w:w="80"/>
              <w:right w:type="dxa" w:w="80"/>
            </w:tcMar>
          </w:tcPr>
          <w:p>
            <w:pPr>
              <w:jc w:val="center"/>
            </w:pPr>
            <w:r>
              <w:rPr>
                <w:rFonts w:ascii="Arial" w:cs="Arial" w:eastAsia="Arial" w:hAnsi="Arial"/>
                <w:b/>
                <w:bCs/>
                <w:color w:val="1A5EA8"/>
                <w:sz w:val="20"/>
                <w:szCs w:val="20"/>
              </w:rPr>
              <w:t xml:space="preserve">MEDIUM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b/>
                <w:bCs/>
                <w:color w:val="333333"/>
                <w:sz w:val="20"/>
                <w:szCs w:val="20"/>
              </w:rPr>
              <w:t xml:space="preserve">OVERALL VENDOR RISK RATING</w:t>
            </w:r>
          </w:p>
        </w:tc>
        <w:tc>
          <w:tcPr>
            <w:tcW w:type="dxa" w:w="3000"/>
            <w:tcBorders>
              <w:top w:val="single" w:color="CCCCCC" w:sz="1"/>
              <w:left w:val="single" w:color="CCCCCC" w:sz="1"/>
              <w:bottom w:val="single" w:color="CCCCCC" w:sz="1"/>
              <w:right w:val="single" w:color="CCCCCC" w:sz="1"/>
            </w:tcBorders>
            <w:shd w:fill="FDDADA" w:val="clear"/>
            <w:tcMar>
              <w:top w:type="dxa" w:w="80"/>
              <w:left w:type="dxa" w:w="120"/>
              <w:bottom w:type="dxa" w:w="80"/>
              <w:right w:type="dxa" w:w="80"/>
            </w:tcMar>
          </w:tcPr>
          <w:p>
            <w:pPr>
              <w:jc w:val="center"/>
            </w:pPr>
            <w:r>
              <w:rPr>
                <w:rFonts w:ascii="Arial" w:cs="Arial" w:eastAsia="Arial" w:hAnsi="Arial"/>
                <w:b/>
                <w:bCs/>
                <w:color w:val="C00000"/>
                <w:sz w:val="20"/>
                <w:szCs w:val="20"/>
              </w:rPr>
              <w:t xml:space="preserve">HIGH RISK — Escalate to Leadership</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before="0" w:after="60" w:line="280"/>
            </w:pPr>
            <w:r>
              <w:rPr>
                <w:rFonts w:ascii="Arial" w:cs="Arial" w:eastAsia="Arial" w:hAnsi="Arial"/>
                <w:b/>
                <w:bCs/>
                <w:color w:val="1F4E79"/>
                <w:sz w:val="20"/>
                <w:szCs w:val="20"/>
              </w:rPr>
              <w:t xml:space="preserve">Key Risks Identified:</w:t>
            </w:r>
          </w:p>
          <w:p>
            <w:pPr>
              <w:pStyle w:val="ListParagraph"/>
              <w:numPr>
                <w:ilvl w:val="0"/>
                <w:numId w:val="2"/>
              </w:numPr>
              <w:spacing w:before="30" w:after="30" w:line="280"/>
            </w:pPr>
            <w:r>
              <w:rPr>
                <w:rFonts w:ascii="Arial" w:cs="Arial" w:eastAsia="Arial" w:hAnsi="Arial"/>
                <w:color w:val="333333"/>
                <w:sz w:val="18"/>
                <w:szCs w:val="18"/>
              </w:rPr>
              <w:t xml:space="preserve">Geopolitical risk is CRITICAL — banned for government and critical infrastructure use in USA, UK, Australia, and Canada. Institutional and government client installations at risk.</w:t>
            </w:r>
          </w:p>
          <w:p>
            <w:pPr>
              <w:pStyle w:val="ListParagraph"/>
              <w:numPr>
                <w:ilvl w:val="0"/>
                <w:numId w:val="2"/>
              </w:numPr>
              <w:spacing w:before="30" w:after="30" w:line="280"/>
            </w:pPr>
            <w:r>
              <w:rPr>
                <w:rFonts w:ascii="Arial" w:cs="Arial" w:eastAsia="Arial" w:hAnsi="Arial"/>
                <w:color w:val="333333"/>
                <w:sz w:val="18"/>
                <w:szCs w:val="18"/>
              </w:rPr>
              <w:t xml:space="preserve">State ownership (~42%) creates data sovereignty risk for cloud-connected installations.</w:t>
            </w:r>
          </w:p>
          <w:p>
            <w:pPr>
              <w:pStyle w:val="ListParagraph"/>
              <w:numPr>
                <w:ilvl w:val="0"/>
                <w:numId w:val="2"/>
              </w:numPr>
              <w:spacing w:before="30" w:after="30" w:line="280"/>
            </w:pPr>
            <w:r>
              <w:rPr>
                <w:rFonts w:ascii="Arial" w:cs="Arial" w:eastAsia="Arial" w:hAnsi="Arial"/>
                <w:color w:val="333333"/>
                <w:sz w:val="18"/>
                <w:szCs w:val="18"/>
              </w:rPr>
              <w:t xml:space="preserve">Pattern of recurring product CVEs requires active firmware patch management by Fensis technicians.</w:t>
            </w:r>
          </w:p>
          <w:p>
            <w:pPr>
              <w:pStyle w:val="ListParagraph"/>
              <w:numPr>
                <w:ilvl w:val="0"/>
                <w:numId w:val="2"/>
              </w:numPr>
              <w:spacing w:before="30" w:after="30" w:line="280"/>
            </w:pPr>
            <w:r>
              <w:rPr>
                <w:rFonts w:ascii="Arial" w:cs="Arial" w:eastAsia="Arial" w:hAnsi="Arial"/>
                <w:color w:val="333333"/>
                <w:sz w:val="18"/>
                <w:szCs w:val="18"/>
              </w:rPr>
              <w:t xml:space="preserve">Counterfeit product risk documented in West African market — verify all products through official portal.</w:t>
            </w:r>
          </w:p>
          <w:p>
            <w:pPr>
              <w:pStyle w:val="ListParagraph"/>
              <w:numPr>
                <w:ilvl w:val="0"/>
                <w:numId w:val="2"/>
              </w:numPr>
              <w:spacing w:before="30" w:after="30" w:line="280"/>
            </w:pPr>
            <w:r>
              <w:rPr>
                <w:rFonts w:ascii="Arial" w:cs="Arial" w:eastAsia="Arial" w:hAnsi="Arial"/>
                <w:color w:val="333333"/>
                <w:sz w:val="18"/>
                <w:szCs w:val="18"/>
              </w:rPr>
              <w:t xml:space="preserve">Cloud connectivity may transmit client site data to Hikvision servers — high risk for sensitive clients.</w:t>
            </w:r>
          </w:p>
          <w:p>
            <w:pPr>
              <w:spacing w:before="40" w:after="40" w:line="280"/>
            </w:pPr>
            <w:r>
              <w:t xml:space="preserve"/>
            </w:r>
          </w:p>
          <w:p>
            <w:pPr>
              <w:spacing w:before="0" w:after="60" w:line="280"/>
            </w:pPr>
            <w:r>
              <w:rPr>
                <w:rFonts w:ascii="Arial" w:cs="Arial" w:eastAsia="Arial" w:hAnsi="Arial"/>
                <w:b/>
                <w:bCs/>
                <w:color w:val="1F4E79"/>
                <w:sz w:val="20"/>
                <w:szCs w:val="20"/>
              </w:rPr>
              <w:t xml:space="preserve">Recommended Actions:</w:t>
            </w:r>
          </w:p>
          <w:p>
            <w:pPr>
              <w:pStyle w:val="ListParagraph"/>
              <w:numPr>
                <w:ilvl w:val="0"/>
                <w:numId w:val="2"/>
              </w:numPr>
              <w:spacing w:before="30" w:after="30" w:line="280"/>
            </w:pPr>
            <w:r>
              <w:rPr>
                <w:rFonts w:ascii="Arial" w:cs="Arial" w:eastAsia="Arial" w:hAnsi="Arial"/>
                <w:color w:val="333333"/>
                <w:sz w:val="18"/>
                <w:szCs w:val="18"/>
              </w:rPr>
              <w:t xml:space="preserve">Formally document and disclose Hikvision geopolitical risk to the Fensis Managing Director. Include in risk register as R-07.</w:t>
            </w:r>
          </w:p>
          <w:p>
            <w:pPr>
              <w:pStyle w:val="ListParagraph"/>
              <w:numPr>
                <w:ilvl w:val="0"/>
                <w:numId w:val="2"/>
              </w:numPr>
              <w:spacing w:before="30" w:after="30" w:line="280"/>
            </w:pPr>
            <w:r>
              <w:rPr>
                <w:rFonts w:ascii="Arial" w:cs="Arial" w:eastAsia="Arial" w:hAnsi="Arial"/>
                <w:color w:val="333333"/>
                <w:sz w:val="18"/>
                <w:szCs w:val="18"/>
              </w:rPr>
              <w:t xml:space="preserve">Immediately avoid installing Hikvision products at government, internationally funded, or institutional client sites.</w:t>
            </w:r>
          </w:p>
          <w:p>
            <w:pPr>
              <w:pStyle w:val="ListParagraph"/>
              <w:numPr>
                <w:ilvl w:val="0"/>
                <w:numId w:val="2"/>
              </w:numPr>
              <w:spacing w:before="30" w:after="30" w:line="280"/>
            </w:pPr>
            <w:r>
              <w:rPr>
                <w:rFonts w:ascii="Arial" w:cs="Arial" w:eastAsia="Arial" w:hAnsi="Arial"/>
                <w:color w:val="333333"/>
                <w:sz w:val="18"/>
                <w:szCs w:val="18"/>
              </w:rPr>
              <w:t xml:space="preserve">Disable Hik-Connect cloud connectivity on all client installations unless client has expressly consented.</w:t>
            </w:r>
          </w:p>
          <w:p>
            <w:pPr>
              <w:pStyle w:val="ListParagraph"/>
              <w:numPr>
                <w:ilvl w:val="0"/>
                <w:numId w:val="2"/>
              </w:numPr>
              <w:spacing w:before="30" w:after="30" w:line="280"/>
            </w:pPr>
            <w:r>
              <w:rPr>
                <w:rFonts w:ascii="Arial" w:cs="Arial" w:eastAsia="Arial" w:hAnsi="Arial"/>
                <w:color w:val="333333"/>
                <w:sz w:val="18"/>
                <w:szCs w:val="18"/>
              </w:rPr>
              <w:t xml:space="preserve">Implement mandatory firmware update verification as part of every installation checklist.</w:t>
            </w:r>
          </w:p>
          <w:p>
            <w:pPr>
              <w:pStyle w:val="ListParagraph"/>
              <w:numPr>
                <w:ilvl w:val="0"/>
                <w:numId w:val="2"/>
              </w:numPr>
              <w:spacing w:before="30" w:after="30" w:line="280"/>
            </w:pPr>
            <w:r>
              <w:rPr>
                <w:rFonts w:ascii="Arial" w:cs="Arial" w:eastAsia="Arial" w:hAnsi="Arial"/>
                <w:color w:val="333333"/>
                <w:sz w:val="18"/>
                <w:szCs w:val="18"/>
              </w:rPr>
              <w:t xml:space="preserve">Verify all Hikvision products through official serial number portal before installation.</w:t>
            </w:r>
          </w:p>
          <w:p>
            <w:pPr>
              <w:pStyle w:val="ListParagraph"/>
              <w:numPr>
                <w:ilvl w:val="0"/>
                <w:numId w:val="2"/>
              </w:numPr>
              <w:spacing w:before="30" w:after="30" w:line="280"/>
            </w:pPr>
            <w:r>
              <w:rPr>
                <w:rFonts w:ascii="Arial" w:cs="Arial" w:eastAsia="Arial" w:hAnsi="Arial"/>
                <w:color w:val="333333"/>
                <w:sz w:val="18"/>
                <w:szCs w:val="18"/>
              </w:rPr>
              <w:t xml:space="preserve">Begin exploring NDAA-compliant alternative vendors (Axis Communications, Hanwha Vision, Avigilon) as medium-term contingency.</w:t>
            </w:r>
          </w:p>
        </w:tc>
      </w:tr>
    </w:tbl>
    <w:p>
      <w:pPr>
        <w:spacing w:before="40" w:after="40" w:line="2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160"/>
            </w:tcMar>
          </w:tcPr>
          <w:p>
            <w:pPr>
              <w:spacing w:before="0" w:after="20" w:line="280"/>
            </w:pPr>
            <w:r>
              <w:rPr>
                <w:rFonts w:ascii="Arial" w:cs="Arial" w:eastAsia="Arial" w:hAnsi="Arial"/>
                <w:b/>
                <w:bCs/>
                <w:color w:val="FFFFFF"/>
                <w:sz w:val="28"/>
                <w:szCs w:val="28"/>
              </w:rPr>
              <w:t xml:space="preserve">Vendor Assessment: Dahua Technology Co., Ltd.</w:t>
            </w:r>
          </w:p>
          <w:p>
            <w:pPr>
              <w:spacing w:before="0" w:after="0" w:line="280"/>
            </w:pPr>
            <w:r>
              <w:rPr>
                <w:rFonts w:ascii="Arial" w:cs="Arial" w:eastAsia="Arial" w:hAnsi="Arial"/>
                <w:color w:val="D6E4F0"/>
                <w:sz w:val="18"/>
                <w:szCs w:val="18"/>
              </w:rPr>
              <w:t xml:space="preserve">Tier: TIER 1 — Critical  |  Products: CCTV cameras, DVRs, NVRs, video surveillance systems</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18"/>
                <w:szCs w:val="18"/>
              </w:rPr>
              <w:t xml:space="preserve">Assessment Method: </w:t>
            </w:r>
            <w:r>
              <w:rPr>
                <w:rFonts w:ascii="Arial" w:cs="Arial" w:eastAsia="Arial" w:hAnsi="Arial"/>
                <w:color w:val="333333"/>
                <w:sz w:val="18"/>
                <w:szCs w:val="18"/>
              </w:rPr>
              <w:t xml:space="preserve">Desk-based review using publicly available information — vendor websites, security advisories, CVE databases, regulatory publications, and industry reports.</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SECTION 2 — Product Security and Firmware Management</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Does the vendor provide documented firmware update guidance?</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Yes. Dahua operates a Security Response Centre (DHSRC) at dahuasecurity.com/support and publishes security advisories, CVE disclosures, and firmware updates for affected products.</w:t>
            </w:r>
          </w:p>
          <w:p>
            <w:pPr>
              <w:spacing w:before="40" w:after="0" w:line="280"/>
            </w:pPr>
            <w:r>
              <w:rPr>
                <w:rFonts w:ascii="Arial" w:cs="Arial" w:eastAsia="Arial" w:hAnsi="Arial"/>
                <w:b/>
                <w:bCs/>
                <w:color w:val="2E7D32"/>
                <w:sz w:val="16"/>
                <w:szCs w:val="16"/>
              </w:rPr>
              <w:t xml:space="preserve">Assessment: </w:t>
            </w:r>
            <w:r>
              <w:rPr>
                <w:rFonts w:ascii="Arial" w:cs="Arial" w:eastAsia="Arial" w:hAnsi="Arial"/>
                <w:b/>
                <w:bCs/>
                <w:color w:val="2E7D32"/>
                <w:sz w:val="16"/>
                <w:szCs w:val="16"/>
              </w:rPr>
              <w:t xml:space="preserve">LOW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Are firmware updates digitally signed or verified?</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Dahua distributes firmware through its official support portal. A formal security response process exists. Digital signing practices are not fully detailed in public documentation.</w:t>
            </w:r>
          </w:p>
          <w:p>
            <w:pPr>
              <w:spacing w:before="40" w:after="0" w:line="280"/>
            </w:pPr>
            <w:r>
              <w:rPr>
                <w:rFonts w:ascii="Arial" w:cs="Arial" w:eastAsia="Arial" w:hAnsi="Arial"/>
                <w:b/>
                <w:bCs/>
                <w:color w:val="1A5EA8"/>
                <w:sz w:val="16"/>
                <w:szCs w:val="16"/>
              </w:rPr>
              <w:t xml:space="preserve">Assessment: </w:t>
            </w:r>
            <w:r>
              <w:rPr>
                <w:rFonts w:ascii="Arial" w:cs="Arial" w:eastAsia="Arial" w:hAnsi="Arial"/>
                <w:b/>
                <w:bCs/>
                <w:color w:val="1A5EA8"/>
                <w:sz w:val="16"/>
                <w:szCs w:val="16"/>
              </w:rPr>
              <w:t xml:space="preserve">MEDIUM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Does the vendor maintain a public security advisory page?</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Yes. Dahua maintains a Security Response Centre. Vulnerability reports can be submitted to cybersecurity@dahuasecurity.com.</w:t>
            </w:r>
          </w:p>
          <w:p>
            <w:pPr>
              <w:spacing w:before="40" w:after="0" w:line="280"/>
            </w:pPr>
            <w:r>
              <w:rPr>
                <w:rFonts w:ascii="Arial" w:cs="Arial" w:eastAsia="Arial" w:hAnsi="Arial"/>
                <w:b/>
                <w:bCs/>
                <w:color w:val="2E7D32"/>
                <w:sz w:val="16"/>
                <w:szCs w:val="16"/>
              </w:rPr>
              <w:t xml:space="preserve">Assessment: </w:t>
            </w:r>
            <w:r>
              <w:rPr>
                <w:rFonts w:ascii="Arial" w:cs="Arial" w:eastAsia="Arial" w:hAnsi="Arial"/>
                <w:b/>
                <w:bCs/>
                <w:color w:val="2E7D32"/>
                <w:sz w:val="16"/>
                <w:szCs w:val="16"/>
              </w:rPr>
              <w:t xml:space="preserve">LOW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What is the vendor's end-of-life product policy?</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Product lifecycle information is available on the Dahua website. No standardised advance notice period was publicly confirmed. Supply continuity risk is elevated by ongoing US regulatory restrictions.</w:t>
            </w:r>
          </w:p>
          <w:p>
            <w:pPr>
              <w:spacing w:before="40" w:after="0" w:line="280"/>
            </w:pPr>
            <w:r>
              <w:rPr>
                <w:rFonts w:ascii="Arial" w:cs="Arial" w:eastAsia="Arial" w:hAnsi="Arial"/>
                <w:b/>
                <w:bCs/>
                <w:color w:val="1A5EA8"/>
                <w:sz w:val="16"/>
                <w:szCs w:val="16"/>
              </w:rPr>
              <w:t xml:space="preserve">Assessment: </w:t>
            </w:r>
            <w:r>
              <w:rPr>
                <w:rFonts w:ascii="Arial" w:cs="Arial" w:eastAsia="Arial" w:hAnsi="Arial"/>
                <w:b/>
                <w:bCs/>
                <w:color w:val="1A5EA8"/>
                <w:sz w:val="16"/>
                <w:szCs w:val="16"/>
              </w:rPr>
              <w:t xml:space="preserve">MEDIUM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Do product manuals require default credential changes?</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Yes. Dahua product documentation recommends changing default passwords. Enforcement at installation level depends on the installing partner. Fensis should include credential verification in its installation checklist.</w:t>
            </w:r>
          </w:p>
          <w:p>
            <w:pPr>
              <w:spacing w:before="40" w:after="0" w:line="280"/>
            </w:pPr>
            <w:r>
              <w:rPr>
                <w:rFonts w:ascii="Arial" w:cs="Arial" w:eastAsia="Arial" w:hAnsi="Arial"/>
                <w:b/>
                <w:bCs/>
                <w:color w:val="1A5EA8"/>
                <w:sz w:val="16"/>
                <w:szCs w:val="16"/>
              </w:rPr>
              <w:t xml:space="preserve">Assessment: </w:t>
            </w:r>
            <w:r>
              <w:rPr>
                <w:rFonts w:ascii="Arial" w:cs="Arial" w:eastAsia="Arial" w:hAnsi="Arial"/>
                <w:b/>
                <w:bCs/>
                <w:color w:val="1A5EA8"/>
                <w:sz w:val="16"/>
                <w:szCs w:val="16"/>
              </w:rPr>
              <w:t xml:space="preserve">MEDIUM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SECTION 3 — Vulnerability and Incident Escalation</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What is the vendor's vulnerability notification process?</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Dahua operates the DHSRC and publishes CVE advisories. The company has disclosed multiple CVEs including authentication bypass and remote access vulnerabilities in camera and NVR product lines.</w:t>
            </w:r>
          </w:p>
          <w:p>
            <w:pPr>
              <w:spacing w:before="40" w:after="0" w:line="280"/>
            </w:pPr>
            <w:r>
              <w:rPr>
                <w:rFonts w:ascii="Arial" w:cs="Arial" w:eastAsia="Arial" w:hAnsi="Arial"/>
                <w:b/>
                <w:bCs/>
                <w:color w:val="1A5EA8"/>
                <w:sz w:val="16"/>
                <w:szCs w:val="16"/>
              </w:rPr>
              <w:t xml:space="preserve">Assessment: </w:t>
            </w:r>
            <w:r>
              <w:rPr>
                <w:rFonts w:ascii="Arial" w:cs="Arial" w:eastAsia="Arial" w:hAnsi="Arial"/>
                <w:b/>
                <w:bCs/>
                <w:color w:val="1A5EA8"/>
                <w:sz w:val="16"/>
                <w:szCs w:val="16"/>
              </w:rPr>
              <w:t xml:space="preserve">MEDIUM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Does the vendor operate a vulnerability disclosure programme?</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Yes. Dahua accepts vulnerability reports via cybersecurity@dahuasecurity.com and acknowledges security researchers in its advisories.</w:t>
            </w:r>
          </w:p>
          <w:p>
            <w:pPr>
              <w:spacing w:before="40" w:after="0" w:line="280"/>
            </w:pPr>
            <w:r>
              <w:rPr>
                <w:rFonts w:ascii="Arial" w:cs="Arial" w:eastAsia="Arial" w:hAnsi="Arial"/>
                <w:b/>
                <w:bCs/>
                <w:color w:val="2E7D32"/>
                <w:sz w:val="16"/>
                <w:szCs w:val="16"/>
              </w:rPr>
              <w:t xml:space="preserve">Assessment: </w:t>
            </w:r>
            <w:r>
              <w:rPr>
                <w:rFonts w:ascii="Arial" w:cs="Arial" w:eastAsia="Arial" w:hAnsi="Arial"/>
                <w:b/>
                <w:bCs/>
                <w:color w:val="2E7D32"/>
                <w:sz w:val="16"/>
                <w:szCs w:val="16"/>
              </w:rPr>
              <w:t xml:space="preserve">LOW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Has the vendor experienced publicly disclosed security incidents?</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Yes. Multiple CVEs have been published against Dahua products including authentication bypass and remote access flaws. Dahua was also expelled from the Security Industry Association (SIA) in 2021 for ethics code violations.</w:t>
            </w:r>
          </w:p>
          <w:p>
            <w:pPr>
              <w:spacing w:before="40" w:after="0" w:line="280"/>
            </w:pPr>
            <w:r>
              <w:rPr>
                <w:rFonts w:ascii="Arial" w:cs="Arial" w:eastAsia="Arial" w:hAnsi="Arial"/>
                <w:b/>
                <w:bCs/>
                <w:color w:val="C00000"/>
                <w:sz w:val="16"/>
                <w:szCs w:val="16"/>
              </w:rPr>
              <w:t xml:space="preserve">Assessment: </w:t>
            </w:r>
            <w:r>
              <w:rPr>
                <w:rFonts w:ascii="Arial" w:cs="Arial" w:eastAsia="Arial" w:hAnsi="Arial"/>
                <w:b/>
                <w:bCs/>
                <w:color w:val="C00000"/>
                <w:sz w:val="16"/>
                <w:szCs w:val="16"/>
              </w:rPr>
              <w:t xml:space="preserve">HIGH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SECTION 4 — Supply Chain Integrity</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Does the vendor operate an authorised distributor programme?</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Yes. Dahua operates a global partner and distributor programme. Fensis should confirm authorised distributor status to ensure genuine products and valid warranty coverage.</w:t>
            </w:r>
          </w:p>
          <w:p>
            <w:pPr>
              <w:spacing w:before="40" w:after="0" w:line="280"/>
            </w:pPr>
            <w:r>
              <w:rPr>
                <w:rFonts w:ascii="Arial" w:cs="Arial" w:eastAsia="Arial" w:hAnsi="Arial"/>
                <w:b/>
                <w:bCs/>
                <w:color w:val="2E7D32"/>
                <w:sz w:val="16"/>
                <w:szCs w:val="16"/>
              </w:rPr>
              <w:t xml:space="preserve">Assessment: </w:t>
            </w:r>
            <w:r>
              <w:rPr>
                <w:rFonts w:ascii="Arial" w:cs="Arial" w:eastAsia="Arial" w:hAnsi="Arial"/>
                <w:b/>
                <w:bCs/>
                <w:color w:val="2E7D32"/>
                <w:sz w:val="16"/>
                <w:szCs w:val="16"/>
              </w:rPr>
              <w:t xml:space="preserve">LOW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What mechanisms verify product authenticity?</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Dahua provides authenticity verification through its official website. Grey market and counterfeit Dahua products exist in the African market. Fensis must source exclusively through authorised channels.</w:t>
            </w:r>
          </w:p>
          <w:p>
            <w:pPr>
              <w:spacing w:before="40" w:after="0" w:line="280"/>
            </w:pPr>
            <w:r>
              <w:rPr>
                <w:rFonts w:ascii="Arial" w:cs="Arial" w:eastAsia="Arial" w:hAnsi="Arial"/>
                <w:b/>
                <w:bCs/>
                <w:color w:val="1A5EA8"/>
                <w:sz w:val="16"/>
                <w:szCs w:val="16"/>
              </w:rPr>
              <w:t xml:space="preserve">Assessment: </w:t>
            </w:r>
            <w:r>
              <w:rPr>
                <w:rFonts w:ascii="Arial" w:cs="Arial" w:eastAsia="Arial" w:hAnsi="Arial"/>
                <w:b/>
                <w:bCs/>
                <w:color w:val="1A5EA8"/>
                <w:sz w:val="16"/>
                <w:szCs w:val="16"/>
              </w:rPr>
              <w:t xml:space="preserve">MEDIUM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What quality control standards apply?</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Dahua manufactures in China and holds ISO certifications. Placement on the US Entity List and FCC Covered List raises supply chain oversight questions similar to Hikvision.</w:t>
            </w:r>
          </w:p>
          <w:p>
            <w:pPr>
              <w:spacing w:before="40" w:after="0" w:line="280"/>
            </w:pPr>
            <w:r>
              <w:rPr>
                <w:rFonts w:ascii="Arial" w:cs="Arial" w:eastAsia="Arial" w:hAnsi="Arial"/>
                <w:b/>
                <w:bCs/>
                <w:color w:val="1A5EA8"/>
                <w:sz w:val="16"/>
                <w:szCs w:val="16"/>
              </w:rPr>
              <w:t xml:space="preserve">Assessment: </w:t>
            </w:r>
            <w:r>
              <w:rPr>
                <w:rFonts w:ascii="Arial" w:cs="Arial" w:eastAsia="Arial" w:hAnsi="Arial"/>
                <w:b/>
                <w:bCs/>
                <w:color w:val="1A5EA8"/>
                <w:sz w:val="16"/>
                <w:szCs w:val="16"/>
              </w:rPr>
              <w:t xml:space="preserve">MEDIUM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SECTION 5 — Regulatory and Geopolitical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Has the vendor been subject to procurement bans or regulatory restrictions?</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YES — SIGNIFICANT. Dahua is named in the US NDAA Section 889 ban. It is on the FCC Covered List. The UK government's 2022 guidance applies to Dahua products on sensitive sites. The US DC Circuit Court upheld the FCC ban against Dahua in April 2024. Dahua was added to the US Commerce Entity List in October 2019. Multiple US states have enacted Dahua-specific bans.</w:t>
            </w:r>
          </w:p>
          <w:p>
            <w:pPr>
              <w:spacing w:before="40" w:after="0" w:line="280"/>
            </w:pPr>
            <w:r>
              <w:rPr>
                <w:rFonts w:ascii="Arial" w:cs="Arial" w:eastAsia="Arial" w:hAnsi="Arial"/>
                <w:b/>
                <w:bCs/>
                <w:color w:val="C00000"/>
                <w:sz w:val="16"/>
                <w:szCs w:val="16"/>
              </w:rPr>
              <w:t xml:space="preserve">Assessment: </w:t>
            </w:r>
            <w:r>
              <w:rPr>
                <w:rFonts w:ascii="Arial" w:cs="Arial" w:eastAsia="Arial" w:hAnsi="Arial"/>
                <w:b/>
                <w:bCs/>
                <w:color w:val="C00000"/>
                <w:sz w:val="16"/>
                <w:szCs w:val="16"/>
              </w:rPr>
              <w:t xml:space="preserve">HIGH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Does the vendor have ownership links to a government entity?</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YES. Dahua is approximately 40% state-linked through ownership structures tied to Chinese government entities. This is the basis for its national security designations in Western countries.</w:t>
            </w:r>
          </w:p>
          <w:p>
            <w:pPr>
              <w:spacing w:before="40" w:after="0" w:line="280"/>
            </w:pPr>
            <w:r>
              <w:rPr>
                <w:rFonts w:ascii="Arial" w:cs="Arial" w:eastAsia="Arial" w:hAnsi="Arial"/>
                <w:b/>
                <w:bCs/>
                <w:color w:val="C00000"/>
                <w:sz w:val="16"/>
                <w:szCs w:val="16"/>
              </w:rPr>
              <w:t xml:space="preserve">Assessment: </w:t>
            </w:r>
            <w:r>
              <w:rPr>
                <w:rFonts w:ascii="Arial" w:cs="Arial" w:eastAsia="Arial" w:hAnsi="Arial"/>
                <w:b/>
                <w:bCs/>
                <w:color w:val="C00000"/>
                <w:sz w:val="16"/>
                <w:szCs w:val="16"/>
              </w:rPr>
              <w:t xml:space="preserve">HIGH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SECTION 6 — Data Handling</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Does the vendor receive or process data relating to Fensis clients?</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Potentially yes for cloud-enabled products using the DMSS or DSS platforms. Cloud connectivity should be assessed per installation and disabled where not required.</w:t>
            </w:r>
          </w:p>
          <w:p>
            <w:pPr>
              <w:spacing w:before="40" w:after="0" w:line="280"/>
            </w:pPr>
            <w:r>
              <w:rPr>
                <w:rFonts w:ascii="Arial" w:cs="Arial" w:eastAsia="Arial" w:hAnsi="Arial"/>
                <w:b/>
                <w:bCs/>
                <w:color w:val="C00000"/>
                <w:sz w:val="16"/>
                <w:szCs w:val="16"/>
              </w:rPr>
              <w:t xml:space="preserve">Assessment: </w:t>
            </w:r>
            <w:r>
              <w:rPr>
                <w:rFonts w:ascii="Arial" w:cs="Arial" w:eastAsia="Arial" w:hAnsi="Arial"/>
                <w:b/>
                <w:bCs/>
                <w:color w:val="C00000"/>
                <w:sz w:val="16"/>
                <w:szCs w:val="16"/>
              </w:rPr>
              <w:t xml:space="preserve">HIGH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Do vendor products transmit operational data to vendor servers?</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Yes — for cloud-enabled models. Given state-linked ownership, data transmission represents a sovereignty risk for institutional Fensis clients.</w:t>
            </w:r>
          </w:p>
          <w:p>
            <w:pPr>
              <w:spacing w:before="40" w:after="0" w:line="280"/>
            </w:pPr>
            <w:r>
              <w:rPr>
                <w:rFonts w:ascii="Arial" w:cs="Arial" w:eastAsia="Arial" w:hAnsi="Arial"/>
                <w:b/>
                <w:bCs/>
                <w:color w:val="C00000"/>
                <w:sz w:val="16"/>
                <w:szCs w:val="16"/>
              </w:rPr>
              <w:t xml:space="preserve">Assessment: </w:t>
            </w:r>
            <w:r>
              <w:rPr>
                <w:rFonts w:ascii="Arial" w:cs="Arial" w:eastAsia="Arial" w:hAnsi="Arial"/>
                <w:b/>
                <w:bCs/>
                <w:color w:val="C00000"/>
                <w:sz w:val="16"/>
                <w:szCs w:val="16"/>
              </w:rPr>
              <w:t xml:space="preserve">HIGH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SECTION 7 — Service Continuity and Support</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What warranty and support terms does the vendor provide?</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Standard Dahua products carry a one to three year manufacturer warranty. African regional support is available through authorised distributors. Terms for Ghana should be confirmed with the regional Dahua partner.</w:t>
            </w:r>
          </w:p>
          <w:p>
            <w:pPr>
              <w:spacing w:before="40" w:after="0" w:line="280"/>
            </w:pPr>
            <w:r>
              <w:rPr>
                <w:rFonts w:ascii="Arial" w:cs="Arial" w:eastAsia="Arial" w:hAnsi="Arial"/>
                <w:b/>
                <w:bCs/>
                <w:color w:val="1A5EA8"/>
                <w:sz w:val="16"/>
                <w:szCs w:val="16"/>
              </w:rPr>
              <w:t xml:space="preserve">Assessment: </w:t>
            </w:r>
            <w:r>
              <w:rPr>
                <w:rFonts w:ascii="Arial" w:cs="Arial" w:eastAsia="Arial" w:hAnsi="Arial"/>
                <w:b/>
                <w:bCs/>
                <w:color w:val="1A5EA8"/>
                <w:sz w:val="16"/>
                <w:szCs w:val="16"/>
              </w:rPr>
              <w:t xml:space="preserve">MEDIUM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Does the vendor provide advance notice of product discontinuation?</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Product lifecycle information is published on the Dahua website. Ongoing regulatory pressure creates supply continuity risk that Fensis should monitor.</w:t>
            </w:r>
          </w:p>
          <w:p>
            <w:pPr>
              <w:spacing w:before="40" w:after="0" w:line="280"/>
            </w:pPr>
            <w:r>
              <w:rPr>
                <w:rFonts w:ascii="Arial" w:cs="Arial" w:eastAsia="Arial" w:hAnsi="Arial"/>
                <w:b/>
                <w:bCs/>
                <w:color w:val="1A5EA8"/>
                <w:sz w:val="16"/>
                <w:szCs w:val="16"/>
              </w:rPr>
              <w:t xml:space="preserve">Assessment: </w:t>
            </w:r>
            <w:r>
              <w:rPr>
                <w:rFonts w:ascii="Arial" w:cs="Arial" w:eastAsia="Arial" w:hAnsi="Arial"/>
                <w:b/>
                <w:bCs/>
                <w:color w:val="1A5EA8"/>
                <w:sz w:val="16"/>
                <w:szCs w:val="16"/>
              </w:rPr>
              <w:t xml:space="preserve">MEDIUM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Does the vendor have a West African or African regional presence?</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Yes. Dahua has distributor and partner presence across Africa including West Africa. Regional support quality and responsiveness should be verified directly by Fensis.</w:t>
            </w:r>
          </w:p>
          <w:p>
            <w:pPr>
              <w:spacing w:before="40" w:after="0" w:line="280"/>
            </w:pPr>
            <w:r>
              <w:rPr>
                <w:rFonts w:ascii="Arial" w:cs="Arial" w:eastAsia="Arial" w:hAnsi="Arial"/>
                <w:b/>
                <w:bCs/>
                <w:color w:val="1A5EA8"/>
                <w:sz w:val="16"/>
                <w:szCs w:val="16"/>
              </w:rPr>
              <w:t xml:space="preserve">Assessment: </w:t>
            </w:r>
            <w:r>
              <w:rPr>
                <w:rFonts w:ascii="Arial" w:cs="Arial" w:eastAsia="Arial" w:hAnsi="Arial"/>
                <w:b/>
                <w:bCs/>
                <w:color w:val="1A5EA8"/>
                <w:sz w:val="16"/>
                <w:szCs w:val="16"/>
              </w:rPr>
              <w:t xml:space="preserve">MEDIUM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0"/>
                <w:szCs w:val="20"/>
              </w:rPr>
              <w:t xml:space="preserve">SECTION 8 — Internal Scoring (Desk-Based Assessment)</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b/>
                <w:bCs/>
                <w:color w:val="333333"/>
                <w:sz w:val="20"/>
                <w:szCs w:val="20"/>
              </w:rPr>
              <w:t xml:space="preserve">Product Security Rating</w:t>
            </w:r>
          </w:p>
        </w:tc>
        <w:tc>
          <w:tcPr>
            <w:tcW w:type="dxa" w:w="3000"/>
            <w:tcBorders>
              <w:top w:val="single" w:color="CCCCCC" w:sz="1"/>
              <w:left w:val="single" w:color="CCCCCC" w:sz="1"/>
              <w:bottom w:val="single" w:color="CCCCCC" w:sz="1"/>
              <w:right w:val="single" w:color="CCCCCC" w:sz="1"/>
            </w:tcBorders>
            <w:shd w:fill="DCE9F8" w:val="clear"/>
            <w:tcMar>
              <w:top w:type="dxa" w:w="80"/>
              <w:left w:type="dxa" w:w="120"/>
              <w:bottom w:type="dxa" w:w="80"/>
              <w:right w:type="dxa" w:w="80"/>
            </w:tcMar>
          </w:tcPr>
          <w:p>
            <w:pPr>
              <w:jc w:val="center"/>
            </w:pPr>
            <w:r>
              <w:rPr>
                <w:rFonts w:ascii="Arial" w:cs="Arial" w:eastAsia="Arial" w:hAnsi="Arial"/>
                <w:b/>
                <w:bCs/>
                <w:color w:val="1A5EA8"/>
                <w:sz w:val="20"/>
                <w:szCs w:val="20"/>
              </w:rPr>
              <w:t xml:space="preserve">MEDIUM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b/>
                <w:bCs/>
                <w:color w:val="333333"/>
                <w:sz w:val="20"/>
                <w:szCs w:val="20"/>
              </w:rPr>
              <w:t xml:space="preserve">Supply Chain Integrity Rating</w:t>
            </w:r>
          </w:p>
        </w:tc>
        <w:tc>
          <w:tcPr>
            <w:tcW w:type="dxa" w:w="3000"/>
            <w:tcBorders>
              <w:top w:val="single" w:color="CCCCCC" w:sz="1"/>
              <w:left w:val="single" w:color="CCCCCC" w:sz="1"/>
              <w:bottom w:val="single" w:color="CCCCCC" w:sz="1"/>
              <w:right w:val="single" w:color="CCCCCC" w:sz="1"/>
            </w:tcBorders>
            <w:shd w:fill="DCE9F8" w:val="clear"/>
            <w:tcMar>
              <w:top w:type="dxa" w:w="80"/>
              <w:left w:type="dxa" w:w="120"/>
              <w:bottom w:type="dxa" w:w="80"/>
              <w:right w:type="dxa" w:w="80"/>
            </w:tcMar>
          </w:tcPr>
          <w:p>
            <w:pPr>
              <w:jc w:val="center"/>
            </w:pPr>
            <w:r>
              <w:rPr>
                <w:rFonts w:ascii="Arial" w:cs="Arial" w:eastAsia="Arial" w:hAnsi="Arial"/>
                <w:b/>
                <w:bCs/>
                <w:color w:val="1A5EA8"/>
                <w:sz w:val="20"/>
                <w:szCs w:val="20"/>
              </w:rPr>
              <w:t xml:space="preserve">MEDIUM RISK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b/>
                <w:bCs/>
                <w:color w:val="333333"/>
                <w:sz w:val="20"/>
                <w:szCs w:val="20"/>
              </w:rPr>
              <w:t xml:space="preserve">Regulatory / Geopolitical Risk</w:t>
            </w:r>
          </w:p>
        </w:tc>
        <w:tc>
          <w:tcPr>
            <w:tcW w:type="dxa" w:w="3000"/>
            <w:tcBorders>
              <w:top w:val="single" w:color="CCCCCC" w:sz="1"/>
              <w:left w:val="single" w:color="CCCCCC" w:sz="1"/>
              <w:bottom w:val="single" w:color="CCCCCC" w:sz="1"/>
              <w:right w:val="single" w:color="CCCCCC" w:sz="1"/>
            </w:tcBorders>
            <w:shd w:fill="FDDADA" w:val="clear"/>
            <w:tcMar>
              <w:top w:type="dxa" w:w="80"/>
              <w:left w:type="dxa" w:w="120"/>
              <w:bottom w:type="dxa" w:w="80"/>
              <w:right w:type="dxa" w:w="80"/>
            </w:tcMar>
          </w:tcPr>
          <w:p>
            <w:pPr>
              <w:jc w:val="center"/>
            </w:pPr>
            <w:r>
              <w:rPr>
                <w:rFonts w:ascii="Arial" w:cs="Arial" w:eastAsia="Arial" w:hAnsi="Arial"/>
                <w:b/>
                <w:bCs/>
                <w:color w:val="C00000"/>
                <w:sz w:val="20"/>
                <w:szCs w:val="20"/>
              </w:rPr>
              <w:t xml:space="preserve">HIGH RISK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b/>
                <w:bCs/>
                <w:color w:val="333333"/>
                <w:sz w:val="20"/>
                <w:szCs w:val="20"/>
              </w:rPr>
              <w:t xml:space="preserve">Data Handling Risk Rating</w:t>
            </w:r>
          </w:p>
        </w:tc>
        <w:tc>
          <w:tcPr>
            <w:tcW w:type="dxa" w:w="3000"/>
            <w:tcBorders>
              <w:top w:val="single" w:color="CCCCCC" w:sz="1"/>
              <w:left w:val="single" w:color="CCCCCC" w:sz="1"/>
              <w:bottom w:val="single" w:color="CCCCCC" w:sz="1"/>
              <w:right w:val="single" w:color="CCCCCC" w:sz="1"/>
            </w:tcBorders>
            <w:shd w:fill="FDDADA" w:val="clear"/>
            <w:tcMar>
              <w:top w:type="dxa" w:w="80"/>
              <w:left w:type="dxa" w:w="120"/>
              <w:bottom w:type="dxa" w:w="80"/>
              <w:right w:type="dxa" w:w="80"/>
            </w:tcMar>
          </w:tcPr>
          <w:p>
            <w:pPr>
              <w:jc w:val="center"/>
            </w:pPr>
            <w:r>
              <w:rPr>
                <w:rFonts w:ascii="Arial" w:cs="Arial" w:eastAsia="Arial" w:hAnsi="Arial"/>
                <w:b/>
                <w:bCs/>
                <w:color w:val="C00000"/>
                <w:sz w:val="20"/>
                <w:szCs w:val="20"/>
              </w:rPr>
              <w:t xml:space="preserve">HIGH RISK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b/>
                <w:bCs/>
                <w:color w:val="333333"/>
                <w:sz w:val="20"/>
                <w:szCs w:val="20"/>
              </w:rPr>
              <w:t xml:space="preserve">Service Continuity Rating</w:t>
            </w:r>
          </w:p>
        </w:tc>
        <w:tc>
          <w:tcPr>
            <w:tcW w:type="dxa" w:w="3000"/>
            <w:tcBorders>
              <w:top w:val="single" w:color="CCCCCC" w:sz="1"/>
              <w:left w:val="single" w:color="CCCCCC" w:sz="1"/>
              <w:bottom w:val="single" w:color="CCCCCC" w:sz="1"/>
              <w:right w:val="single" w:color="CCCCCC" w:sz="1"/>
            </w:tcBorders>
            <w:shd w:fill="DCE9F8" w:val="clear"/>
            <w:tcMar>
              <w:top w:type="dxa" w:w="80"/>
              <w:left w:type="dxa" w:w="120"/>
              <w:bottom w:type="dxa" w:w="80"/>
              <w:right w:type="dxa" w:w="80"/>
            </w:tcMar>
          </w:tcPr>
          <w:p>
            <w:pPr>
              <w:jc w:val="center"/>
            </w:pPr>
            <w:r>
              <w:rPr>
                <w:rFonts w:ascii="Arial" w:cs="Arial" w:eastAsia="Arial" w:hAnsi="Arial"/>
                <w:b/>
                <w:bCs/>
                <w:color w:val="1A5EA8"/>
                <w:sz w:val="20"/>
                <w:szCs w:val="20"/>
              </w:rPr>
              <w:t xml:space="preserve">MEDIUM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b/>
                <w:bCs/>
                <w:color w:val="333333"/>
                <w:sz w:val="20"/>
                <w:szCs w:val="20"/>
              </w:rPr>
              <w:t xml:space="preserve">OVERALL VENDOR RISK RATING</w:t>
            </w:r>
          </w:p>
        </w:tc>
        <w:tc>
          <w:tcPr>
            <w:tcW w:type="dxa" w:w="3000"/>
            <w:tcBorders>
              <w:top w:val="single" w:color="CCCCCC" w:sz="1"/>
              <w:left w:val="single" w:color="CCCCCC" w:sz="1"/>
              <w:bottom w:val="single" w:color="CCCCCC" w:sz="1"/>
              <w:right w:val="single" w:color="CCCCCC" w:sz="1"/>
            </w:tcBorders>
            <w:shd w:fill="FDDADA" w:val="clear"/>
            <w:tcMar>
              <w:top w:type="dxa" w:w="80"/>
              <w:left w:type="dxa" w:w="120"/>
              <w:bottom w:type="dxa" w:w="80"/>
              <w:right w:type="dxa" w:w="80"/>
            </w:tcMar>
          </w:tcPr>
          <w:p>
            <w:pPr>
              <w:jc w:val="center"/>
            </w:pPr>
            <w:r>
              <w:rPr>
                <w:rFonts w:ascii="Arial" w:cs="Arial" w:eastAsia="Arial" w:hAnsi="Arial"/>
                <w:b/>
                <w:bCs/>
                <w:color w:val="C00000"/>
                <w:sz w:val="20"/>
                <w:szCs w:val="20"/>
              </w:rPr>
              <w:t xml:space="preserve">HIGH RISK — Escalate to Leadership</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before="0" w:after="60" w:line="280"/>
            </w:pPr>
            <w:r>
              <w:rPr>
                <w:rFonts w:ascii="Arial" w:cs="Arial" w:eastAsia="Arial" w:hAnsi="Arial"/>
                <w:b/>
                <w:bCs/>
                <w:color w:val="1F4E79"/>
                <w:sz w:val="20"/>
                <w:szCs w:val="20"/>
              </w:rPr>
              <w:t xml:space="preserve">Key Risks Identified:</w:t>
            </w:r>
          </w:p>
          <w:p>
            <w:pPr>
              <w:pStyle w:val="ListParagraph"/>
              <w:numPr>
                <w:ilvl w:val="0"/>
                <w:numId w:val="2"/>
              </w:numPr>
              <w:spacing w:before="30" w:after="30" w:line="280"/>
            </w:pPr>
            <w:r>
              <w:rPr>
                <w:rFonts w:ascii="Arial" w:cs="Arial" w:eastAsia="Arial" w:hAnsi="Arial"/>
                <w:color w:val="333333"/>
                <w:sz w:val="18"/>
                <w:szCs w:val="18"/>
              </w:rPr>
              <w:t xml:space="preserve">Same NDAA, FCC, and UK/Australia restrictions as Hikvision — government and institutional client installations directly at risk.</w:t>
            </w:r>
          </w:p>
          <w:p>
            <w:pPr>
              <w:pStyle w:val="ListParagraph"/>
              <w:numPr>
                <w:ilvl w:val="0"/>
                <w:numId w:val="2"/>
              </w:numPr>
              <w:spacing w:before="30" w:after="30" w:line="280"/>
            </w:pPr>
            <w:r>
              <w:rPr>
                <w:rFonts w:ascii="Arial" w:cs="Arial" w:eastAsia="Arial" w:hAnsi="Arial"/>
                <w:color w:val="333333"/>
                <w:sz w:val="18"/>
                <w:szCs w:val="18"/>
              </w:rPr>
              <w:t xml:space="preserve">State-linked ownership (~40%) creates data sovereignty risk for cloud-connected installations.</w:t>
            </w:r>
          </w:p>
          <w:p>
            <w:pPr>
              <w:pStyle w:val="ListParagraph"/>
              <w:numPr>
                <w:ilvl w:val="0"/>
                <w:numId w:val="2"/>
              </w:numPr>
              <w:spacing w:before="30" w:after="30" w:line="280"/>
            </w:pPr>
            <w:r>
              <w:rPr>
                <w:rFonts w:ascii="Arial" w:cs="Arial" w:eastAsia="Arial" w:hAnsi="Arial"/>
                <w:color w:val="333333"/>
                <w:sz w:val="18"/>
                <w:szCs w:val="18"/>
              </w:rPr>
              <w:t xml:space="preserve">SIA expulsion in 2021 for ethics code violations signals reputational and compliance risk.</w:t>
            </w:r>
          </w:p>
          <w:p>
            <w:pPr>
              <w:pStyle w:val="ListParagraph"/>
              <w:numPr>
                <w:ilvl w:val="0"/>
                <w:numId w:val="2"/>
              </w:numPr>
              <w:spacing w:before="30" w:after="30" w:line="280"/>
            </w:pPr>
            <w:r>
              <w:rPr>
                <w:rFonts w:ascii="Arial" w:cs="Arial" w:eastAsia="Arial" w:hAnsi="Arial"/>
                <w:color w:val="333333"/>
                <w:sz w:val="18"/>
                <w:szCs w:val="18"/>
              </w:rPr>
              <w:t xml:space="preserve">Recurring product CVEs require active firmware patch management.</w:t>
            </w:r>
          </w:p>
          <w:p>
            <w:pPr>
              <w:spacing w:before="40" w:after="40" w:line="280"/>
            </w:pPr>
            <w:r>
              <w:t xml:space="preserve"/>
            </w:r>
          </w:p>
          <w:p>
            <w:pPr>
              <w:spacing w:before="0" w:after="60" w:line="280"/>
            </w:pPr>
            <w:r>
              <w:rPr>
                <w:rFonts w:ascii="Arial" w:cs="Arial" w:eastAsia="Arial" w:hAnsi="Arial"/>
                <w:b/>
                <w:bCs/>
                <w:color w:val="1F4E79"/>
                <w:sz w:val="20"/>
                <w:szCs w:val="20"/>
              </w:rPr>
              <w:t xml:space="preserve">Recommended Actions:</w:t>
            </w:r>
          </w:p>
          <w:p>
            <w:pPr>
              <w:pStyle w:val="ListParagraph"/>
              <w:numPr>
                <w:ilvl w:val="0"/>
                <w:numId w:val="2"/>
              </w:numPr>
              <w:spacing w:before="30" w:after="30" w:line="280"/>
            </w:pPr>
            <w:r>
              <w:rPr>
                <w:rFonts w:ascii="Arial" w:cs="Arial" w:eastAsia="Arial" w:hAnsi="Arial"/>
                <w:color w:val="333333"/>
                <w:sz w:val="18"/>
                <w:szCs w:val="18"/>
              </w:rPr>
              <w:t xml:space="preserve">Apply same restrictions as Hikvision — avoid government and institutional site installations immediately.</w:t>
            </w:r>
          </w:p>
          <w:p>
            <w:pPr>
              <w:pStyle w:val="ListParagraph"/>
              <w:numPr>
                <w:ilvl w:val="0"/>
                <w:numId w:val="2"/>
              </w:numPr>
              <w:spacing w:before="30" w:after="30" w:line="280"/>
            </w:pPr>
            <w:r>
              <w:rPr>
                <w:rFonts w:ascii="Arial" w:cs="Arial" w:eastAsia="Arial" w:hAnsi="Arial"/>
                <w:color w:val="333333"/>
                <w:sz w:val="18"/>
                <w:szCs w:val="18"/>
              </w:rPr>
              <w:t xml:space="preserve">Disable DMSS/DSS cloud connectivity on all client installations unless client has expressly consented.</w:t>
            </w:r>
          </w:p>
          <w:p>
            <w:pPr>
              <w:pStyle w:val="ListParagraph"/>
              <w:numPr>
                <w:ilvl w:val="0"/>
                <w:numId w:val="2"/>
              </w:numPr>
              <w:spacing w:before="30" w:after="30" w:line="280"/>
            </w:pPr>
            <w:r>
              <w:rPr>
                <w:rFonts w:ascii="Arial" w:cs="Arial" w:eastAsia="Arial" w:hAnsi="Arial"/>
                <w:color w:val="333333"/>
                <w:sz w:val="18"/>
                <w:szCs w:val="18"/>
              </w:rPr>
              <w:t xml:space="preserve">Implement mandatory firmware update checks as part of the Fensis installation procedure.</w:t>
            </w:r>
          </w:p>
          <w:p>
            <w:pPr>
              <w:pStyle w:val="ListParagraph"/>
              <w:numPr>
                <w:ilvl w:val="0"/>
                <w:numId w:val="2"/>
              </w:numPr>
              <w:spacing w:before="30" w:after="30" w:line="280"/>
            </w:pPr>
            <w:r>
              <w:rPr>
                <w:rFonts w:ascii="Arial" w:cs="Arial" w:eastAsia="Arial" w:hAnsi="Arial"/>
                <w:color w:val="333333"/>
                <w:sz w:val="18"/>
                <w:szCs w:val="18"/>
              </w:rPr>
              <w:t xml:space="preserve">Document and escalate geopolitical risk to Fensis leadership alongside Hikvision review.</w:t>
            </w:r>
          </w:p>
        </w:tc>
      </w:tr>
    </w:tbl>
    <w:p>
      <w:pPr>
        <w:spacing w:before="40" w:after="40" w:line="2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160"/>
            </w:tcMar>
          </w:tcPr>
          <w:p>
            <w:pPr>
              <w:spacing w:before="0" w:after="20" w:line="280"/>
            </w:pPr>
            <w:r>
              <w:rPr>
                <w:rFonts w:ascii="Arial" w:cs="Arial" w:eastAsia="Arial" w:hAnsi="Arial"/>
                <w:b/>
                <w:bCs/>
                <w:color w:val="FFFFFF"/>
                <w:sz w:val="28"/>
                <w:szCs w:val="28"/>
              </w:rPr>
              <w:t xml:space="preserve">Vendor Assessment: Nemtek Electric Fence Products</w:t>
            </w:r>
          </w:p>
          <w:p>
            <w:pPr>
              <w:spacing w:before="0" w:after="0" w:line="280"/>
            </w:pPr>
            <w:r>
              <w:rPr>
                <w:rFonts w:ascii="Arial" w:cs="Arial" w:eastAsia="Arial" w:hAnsi="Arial"/>
                <w:color w:val="D6E4F0"/>
                <w:sz w:val="18"/>
                <w:szCs w:val="18"/>
              </w:rPr>
              <w:t xml:space="preserve">Tier: TIER 1 — Critical  |  Products: Electric fence energizers, fencing hardware, perimeter control systems</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18"/>
                <w:szCs w:val="18"/>
              </w:rPr>
              <w:t xml:space="preserve">Assessment Method: </w:t>
            </w:r>
            <w:r>
              <w:rPr>
                <w:rFonts w:ascii="Arial" w:cs="Arial" w:eastAsia="Arial" w:hAnsi="Arial"/>
                <w:color w:val="333333"/>
                <w:sz w:val="18"/>
                <w:szCs w:val="18"/>
              </w:rPr>
              <w:t xml:space="preserve">Desk-based review using publicly available information — vendor websites, security advisories, CVE databases, regulatory publications, and industry reports.</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SECTION 2 — Product Security and Firmware Management</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Does the vendor provide documented firmware update guidance?</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Yes. Nemtek provides product documentation and instruction manuals at nemtek.com. Software updates for smart energizers are available through the Nemtek website and Training Academy. Products are primarily hardware-based with limited firmware complexity.</w:t>
            </w:r>
          </w:p>
          <w:p>
            <w:pPr>
              <w:spacing w:before="40" w:after="0" w:line="280"/>
            </w:pPr>
            <w:r>
              <w:rPr>
                <w:rFonts w:ascii="Arial" w:cs="Arial" w:eastAsia="Arial" w:hAnsi="Arial"/>
                <w:b/>
                <w:bCs/>
                <w:color w:val="2E7D32"/>
                <w:sz w:val="16"/>
                <w:szCs w:val="16"/>
              </w:rPr>
              <w:t xml:space="preserve">Assessment: </w:t>
            </w:r>
            <w:r>
              <w:rPr>
                <w:rFonts w:ascii="Arial" w:cs="Arial" w:eastAsia="Arial" w:hAnsi="Arial"/>
                <w:b/>
                <w:bCs/>
                <w:color w:val="2E7D32"/>
                <w:sz w:val="16"/>
                <w:szCs w:val="16"/>
              </w:rPr>
              <w:t xml:space="preserve">LOW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Are product updates verified?</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Nemtek products are predominantly hardware energizers. The hardware-focused nature significantly reduces the firmware risk profile compared to CCTV systems. No digital signing documentation was publicly identified however this is consistent with the product type.</w:t>
            </w:r>
          </w:p>
          <w:p>
            <w:pPr>
              <w:spacing w:before="40" w:after="0" w:line="280"/>
            </w:pPr>
            <w:r>
              <w:rPr>
                <w:rFonts w:ascii="Arial" w:cs="Arial" w:eastAsia="Arial" w:hAnsi="Arial"/>
                <w:b/>
                <w:bCs/>
                <w:color w:val="2E7D32"/>
                <w:sz w:val="16"/>
                <w:szCs w:val="16"/>
              </w:rPr>
              <w:t xml:space="preserve">Assessment: </w:t>
            </w:r>
            <w:r>
              <w:rPr>
                <w:rFonts w:ascii="Arial" w:cs="Arial" w:eastAsia="Arial" w:hAnsi="Arial"/>
                <w:b/>
                <w:bCs/>
                <w:color w:val="2E7D32"/>
                <w:sz w:val="16"/>
                <w:szCs w:val="16"/>
              </w:rPr>
              <w:t xml:space="preserve">LOW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Does the vendor maintain a security advisory page?</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No dedicated cybersecurity advisory centre was identified — consistent with the hardware product profile. No publicly disclosed CVEs were identified for Nemtek products in any public vulnerability database reviewed.</w:t>
            </w:r>
          </w:p>
          <w:p>
            <w:pPr>
              <w:spacing w:before="40" w:after="0" w:line="280"/>
            </w:pPr>
            <w:r>
              <w:rPr>
                <w:rFonts w:ascii="Arial" w:cs="Arial" w:eastAsia="Arial" w:hAnsi="Arial"/>
                <w:b/>
                <w:bCs/>
                <w:color w:val="2E7D32"/>
                <w:sz w:val="16"/>
                <w:szCs w:val="16"/>
              </w:rPr>
              <w:t xml:space="preserve">Assessment: </w:t>
            </w:r>
            <w:r>
              <w:rPr>
                <w:rFonts w:ascii="Arial" w:cs="Arial" w:eastAsia="Arial" w:hAnsi="Arial"/>
                <w:b/>
                <w:bCs/>
                <w:color w:val="2E7D32"/>
                <w:sz w:val="16"/>
                <w:szCs w:val="16"/>
              </w:rPr>
              <w:t xml:space="preserve">LOW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What is the vendor's product lifecycle policy?</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Nemtek has been manufacturing electric fencing products for over 30 years. Products conform to international electric fencing safety standards. No formal end-of-life policy timeline was publicly identified however the company's operating history suggests strong product continuity.</w:t>
            </w:r>
          </w:p>
          <w:p>
            <w:pPr>
              <w:spacing w:before="40" w:after="0" w:line="280"/>
            </w:pPr>
            <w:r>
              <w:rPr>
                <w:rFonts w:ascii="Arial" w:cs="Arial" w:eastAsia="Arial" w:hAnsi="Arial"/>
                <w:b/>
                <w:bCs/>
                <w:color w:val="2E7D32"/>
                <w:sz w:val="16"/>
                <w:szCs w:val="16"/>
              </w:rPr>
              <w:t xml:space="preserve">Assessment: </w:t>
            </w:r>
            <w:r>
              <w:rPr>
                <w:rFonts w:ascii="Arial" w:cs="Arial" w:eastAsia="Arial" w:hAnsi="Arial"/>
                <w:b/>
                <w:bCs/>
                <w:color w:val="2E7D32"/>
                <w:sz w:val="16"/>
                <w:szCs w:val="16"/>
              </w:rPr>
              <w:t xml:space="preserve">LOW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Do product manuals address secure installation practices?</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Yes. Nemtek product documentation includes safety warnings and installation guidelines. Products conform to international electric fencing safety standards with requirements for safe installation. The Nemtek Training Academy provides accredited COC training.</w:t>
            </w:r>
          </w:p>
          <w:p>
            <w:pPr>
              <w:spacing w:before="40" w:after="0" w:line="280"/>
            </w:pPr>
            <w:r>
              <w:rPr>
                <w:rFonts w:ascii="Arial" w:cs="Arial" w:eastAsia="Arial" w:hAnsi="Arial"/>
                <w:b/>
                <w:bCs/>
                <w:color w:val="2E7D32"/>
                <w:sz w:val="16"/>
                <w:szCs w:val="16"/>
              </w:rPr>
              <w:t xml:space="preserve">Assessment: </w:t>
            </w:r>
            <w:r>
              <w:rPr>
                <w:rFonts w:ascii="Arial" w:cs="Arial" w:eastAsia="Arial" w:hAnsi="Arial"/>
                <w:b/>
                <w:bCs/>
                <w:color w:val="2E7D32"/>
                <w:sz w:val="16"/>
                <w:szCs w:val="16"/>
              </w:rPr>
              <w:t xml:space="preserve">LOW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SECTION 3 — Vulnerability and Incident Escalation</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What is the vendor's vulnerability notification process?</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No formal cybersecurity vulnerability notification process equivalent to CCTV vendors was identified — consistent with the hardware product profile. Product issues are addressed through standard manufacturer channels. No CVEs were identified for Nemtek products.</w:t>
            </w:r>
          </w:p>
          <w:p>
            <w:pPr>
              <w:spacing w:before="40" w:after="0" w:line="280"/>
            </w:pPr>
            <w:r>
              <w:rPr>
                <w:rFonts w:ascii="Arial" w:cs="Arial" w:eastAsia="Arial" w:hAnsi="Arial"/>
                <w:b/>
                <w:bCs/>
                <w:color w:val="2E7D32"/>
                <w:sz w:val="16"/>
                <w:szCs w:val="16"/>
              </w:rPr>
              <w:t xml:space="preserve">Assessment: </w:t>
            </w:r>
            <w:r>
              <w:rPr>
                <w:rFonts w:ascii="Arial" w:cs="Arial" w:eastAsia="Arial" w:hAnsi="Arial"/>
                <w:b/>
                <w:bCs/>
                <w:color w:val="2E7D32"/>
                <w:sz w:val="16"/>
                <w:szCs w:val="16"/>
              </w:rPr>
              <w:t xml:space="preserve">LOW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Does the vendor operate a vulnerability disclosure programme?</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Not publicly identified. The hardware-focused product line presents a lower cybersecurity vulnerability risk profile than network-connected surveillance equipment.</w:t>
            </w:r>
          </w:p>
          <w:p>
            <w:pPr>
              <w:spacing w:before="40" w:after="0" w:line="280"/>
            </w:pPr>
            <w:r>
              <w:rPr>
                <w:rFonts w:ascii="Arial" w:cs="Arial" w:eastAsia="Arial" w:hAnsi="Arial"/>
                <w:b/>
                <w:bCs/>
                <w:color w:val="2E7D32"/>
                <w:sz w:val="16"/>
                <w:szCs w:val="16"/>
              </w:rPr>
              <w:t xml:space="preserve">Assessment: </w:t>
            </w:r>
            <w:r>
              <w:rPr>
                <w:rFonts w:ascii="Arial" w:cs="Arial" w:eastAsia="Arial" w:hAnsi="Arial"/>
                <w:b/>
                <w:bCs/>
                <w:color w:val="2E7D32"/>
                <w:sz w:val="16"/>
                <w:szCs w:val="16"/>
              </w:rPr>
              <w:t xml:space="preserve">LOW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Has the vendor experienced publicly disclosed security incidents?</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No publicly disclosed cybersecurity incidents or CVEs were identified for Nemtek. The company's primary products are hardware energizers and fencing components with limited network attack surface.</w:t>
            </w:r>
          </w:p>
          <w:p>
            <w:pPr>
              <w:spacing w:before="40" w:after="0" w:line="280"/>
            </w:pPr>
            <w:r>
              <w:rPr>
                <w:rFonts w:ascii="Arial" w:cs="Arial" w:eastAsia="Arial" w:hAnsi="Arial"/>
                <w:b/>
                <w:bCs/>
                <w:color w:val="2E7D32"/>
                <w:sz w:val="16"/>
                <w:szCs w:val="16"/>
              </w:rPr>
              <w:t xml:space="preserve">Assessment: </w:t>
            </w:r>
            <w:r>
              <w:rPr>
                <w:rFonts w:ascii="Arial" w:cs="Arial" w:eastAsia="Arial" w:hAnsi="Arial"/>
                <w:b/>
                <w:bCs/>
                <w:color w:val="2E7D32"/>
                <w:sz w:val="16"/>
                <w:szCs w:val="16"/>
              </w:rPr>
              <w:t xml:space="preserve">LOW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SECTION 4 — Supply Chain Integrity</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Does the vendor operate an authorised distributor programme?</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Yes. Nemtek product documentation explicitly states it has authorised distributors and representative offices worldwide. All sales are subject to standard terms and conditions and distribution agreements.</w:t>
            </w:r>
          </w:p>
          <w:p>
            <w:pPr>
              <w:spacing w:before="40" w:after="0" w:line="280"/>
            </w:pPr>
            <w:r>
              <w:rPr>
                <w:rFonts w:ascii="Arial" w:cs="Arial" w:eastAsia="Arial" w:hAnsi="Arial"/>
                <w:b/>
                <w:bCs/>
                <w:color w:val="2E7D32"/>
                <w:sz w:val="16"/>
                <w:szCs w:val="16"/>
              </w:rPr>
              <w:t xml:space="preserve">Assessment: </w:t>
            </w:r>
            <w:r>
              <w:rPr>
                <w:rFonts w:ascii="Arial" w:cs="Arial" w:eastAsia="Arial" w:hAnsi="Arial"/>
                <w:b/>
                <w:bCs/>
                <w:color w:val="2E7D32"/>
                <w:sz w:val="16"/>
                <w:szCs w:val="16"/>
              </w:rPr>
              <w:t xml:space="preserve">LOW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What mechanisms verify product authenticity?</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Nemtek products are manufactured in South Africa and distributed through authorised channels. Regional presence in South Africa provides a traceable supply chain. Risk of counterfeit products is significantly lower than Chinese-manufactured surveillance equipment.</w:t>
            </w:r>
          </w:p>
          <w:p>
            <w:pPr>
              <w:spacing w:before="40" w:after="0" w:line="280"/>
            </w:pPr>
            <w:r>
              <w:rPr>
                <w:rFonts w:ascii="Arial" w:cs="Arial" w:eastAsia="Arial" w:hAnsi="Arial"/>
                <w:b/>
                <w:bCs/>
                <w:color w:val="2E7D32"/>
                <w:sz w:val="16"/>
                <w:szCs w:val="16"/>
              </w:rPr>
              <w:t xml:space="preserve">Assessment: </w:t>
            </w:r>
            <w:r>
              <w:rPr>
                <w:rFonts w:ascii="Arial" w:cs="Arial" w:eastAsia="Arial" w:hAnsi="Arial"/>
                <w:b/>
                <w:bCs/>
                <w:color w:val="2E7D32"/>
                <w:sz w:val="16"/>
                <w:szCs w:val="16"/>
              </w:rPr>
              <w:t xml:space="preserve">LOW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What quality control standards apply?</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All Nemtek energizers conform to international electric fencing safety standards as stated in product documentation. Products carry a two-year manufacturer warranty. Over 30 years of manufacturing history demonstrates consistent quality management.</w:t>
            </w:r>
          </w:p>
          <w:p>
            <w:pPr>
              <w:spacing w:before="40" w:after="0" w:line="280"/>
            </w:pPr>
            <w:r>
              <w:rPr>
                <w:rFonts w:ascii="Arial" w:cs="Arial" w:eastAsia="Arial" w:hAnsi="Arial"/>
                <w:b/>
                <w:bCs/>
                <w:color w:val="2E7D32"/>
                <w:sz w:val="16"/>
                <w:szCs w:val="16"/>
              </w:rPr>
              <w:t xml:space="preserve">Assessment: </w:t>
            </w:r>
            <w:r>
              <w:rPr>
                <w:rFonts w:ascii="Arial" w:cs="Arial" w:eastAsia="Arial" w:hAnsi="Arial"/>
                <w:b/>
                <w:bCs/>
                <w:color w:val="2E7D32"/>
                <w:sz w:val="16"/>
                <w:szCs w:val="16"/>
              </w:rPr>
              <w:t xml:space="preserve">LOW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SECTION 5 — Regulatory and Geopolitical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Has the vendor been subject to procurement bans or regulatory restrictions?</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No regulatory restrictions, procurement bans, or sanctions were identified for Nemtek in any jurisdiction reviewed. The company is a South African manufacturer with no government ownership concerns.</w:t>
            </w:r>
          </w:p>
          <w:p>
            <w:pPr>
              <w:spacing w:before="40" w:after="0" w:line="280"/>
            </w:pPr>
            <w:r>
              <w:rPr>
                <w:rFonts w:ascii="Arial" w:cs="Arial" w:eastAsia="Arial" w:hAnsi="Arial"/>
                <w:b/>
                <w:bCs/>
                <w:color w:val="2E7D32"/>
                <w:sz w:val="16"/>
                <w:szCs w:val="16"/>
              </w:rPr>
              <w:t xml:space="preserve">Assessment: </w:t>
            </w:r>
            <w:r>
              <w:rPr>
                <w:rFonts w:ascii="Arial" w:cs="Arial" w:eastAsia="Arial" w:hAnsi="Arial"/>
                <w:b/>
                <w:bCs/>
                <w:color w:val="2E7D32"/>
                <w:sz w:val="16"/>
                <w:szCs w:val="16"/>
              </w:rPr>
              <w:t xml:space="preserve">LOW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Does the vendor have ownership links to a government entity?</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No government ownership or state-linked investment was identified. Nemtek is a privately held South African manufacturing company. No national security or geopolitical concerns are associated with this vendor.</w:t>
            </w:r>
          </w:p>
          <w:p>
            <w:pPr>
              <w:spacing w:before="40" w:after="0" w:line="280"/>
            </w:pPr>
            <w:r>
              <w:rPr>
                <w:rFonts w:ascii="Arial" w:cs="Arial" w:eastAsia="Arial" w:hAnsi="Arial"/>
                <w:b/>
                <w:bCs/>
                <w:color w:val="2E7D32"/>
                <w:sz w:val="16"/>
                <w:szCs w:val="16"/>
              </w:rPr>
              <w:t xml:space="preserve">Assessment: </w:t>
            </w:r>
            <w:r>
              <w:rPr>
                <w:rFonts w:ascii="Arial" w:cs="Arial" w:eastAsia="Arial" w:hAnsi="Arial"/>
                <w:b/>
                <w:bCs/>
                <w:color w:val="2E7D32"/>
                <w:sz w:val="16"/>
                <w:szCs w:val="16"/>
              </w:rPr>
              <w:t xml:space="preserve">LOW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SECTION 6 — Data Handling</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Does the vendor receive or process data relating to Fensis clients?</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No. Nemtek's core products are hardware energizers and fencing components. Smart monitoring systems process data locally within the client installation. No client data transmission to Nemtek corporate servers was identified.</w:t>
            </w:r>
          </w:p>
          <w:p>
            <w:pPr>
              <w:spacing w:before="40" w:after="0" w:line="280"/>
            </w:pPr>
            <w:r>
              <w:rPr>
                <w:rFonts w:ascii="Arial" w:cs="Arial" w:eastAsia="Arial" w:hAnsi="Arial"/>
                <w:b/>
                <w:bCs/>
                <w:color w:val="2E7D32"/>
                <w:sz w:val="16"/>
                <w:szCs w:val="16"/>
              </w:rPr>
              <w:t xml:space="preserve">Assessment: </w:t>
            </w:r>
            <w:r>
              <w:rPr>
                <w:rFonts w:ascii="Arial" w:cs="Arial" w:eastAsia="Arial" w:hAnsi="Arial"/>
                <w:b/>
                <w:bCs/>
                <w:color w:val="2E7D32"/>
                <w:sz w:val="16"/>
                <w:szCs w:val="16"/>
              </w:rPr>
              <w:t xml:space="preserve">LOW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Do vendor products transmit operational data to vendor servers?</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Not identified for standard Nemtek products. Smart fence monitoring systems operate locally. No cloud data transmission to Nemtek servers was identified in product documentation reviewed.</w:t>
            </w:r>
          </w:p>
          <w:p>
            <w:pPr>
              <w:spacing w:before="40" w:after="0" w:line="280"/>
            </w:pPr>
            <w:r>
              <w:rPr>
                <w:rFonts w:ascii="Arial" w:cs="Arial" w:eastAsia="Arial" w:hAnsi="Arial"/>
                <w:b/>
                <w:bCs/>
                <w:color w:val="2E7D32"/>
                <w:sz w:val="16"/>
                <w:szCs w:val="16"/>
              </w:rPr>
              <w:t xml:space="preserve">Assessment: </w:t>
            </w:r>
            <w:r>
              <w:rPr>
                <w:rFonts w:ascii="Arial" w:cs="Arial" w:eastAsia="Arial" w:hAnsi="Arial"/>
                <w:b/>
                <w:bCs/>
                <w:color w:val="2E7D32"/>
                <w:sz w:val="16"/>
                <w:szCs w:val="16"/>
              </w:rPr>
              <w:t xml:space="preserve">LOW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SECTION 7 — Service Continuity and Support</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What warranty and support terms does the vendor provide?</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Nemtek energizers carry a two-year manufacturer warranty as stated on nemtek.com product pages. The Nemtek Training Academy provides fully accredited training including COC accreditation. International training is available online or through Nemtek partners.</w:t>
            </w:r>
          </w:p>
          <w:p>
            <w:pPr>
              <w:spacing w:before="40" w:after="0" w:line="280"/>
            </w:pPr>
            <w:r>
              <w:rPr>
                <w:rFonts w:ascii="Arial" w:cs="Arial" w:eastAsia="Arial" w:hAnsi="Arial"/>
                <w:b/>
                <w:bCs/>
                <w:color w:val="2E7D32"/>
                <w:sz w:val="16"/>
                <w:szCs w:val="16"/>
              </w:rPr>
              <w:t xml:space="preserve">Assessment: </w:t>
            </w:r>
            <w:r>
              <w:rPr>
                <w:rFonts w:ascii="Arial" w:cs="Arial" w:eastAsia="Arial" w:hAnsi="Arial"/>
                <w:b/>
                <w:bCs/>
                <w:color w:val="2E7D32"/>
                <w:sz w:val="16"/>
                <w:szCs w:val="16"/>
              </w:rPr>
              <w:t xml:space="preserve">LOW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Does the vendor provide advance notice of product discontinuation?</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No formal discontinuation notice policy was publicly identified. Nemtek's 30-year operating history and continuous product development programme suggest strong supply continuity.</w:t>
            </w:r>
          </w:p>
          <w:p>
            <w:pPr>
              <w:spacing w:before="40" w:after="0" w:line="280"/>
            </w:pPr>
            <w:r>
              <w:rPr>
                <w:rFonts w:ascii="Arial" w:cs="Arial" w:eastAsia="Arial" w:hAnsi="Arial"/>
                <w:b/>
                <w:bCs/>
                <w:color w:val="2E7D32"/>
                <w:sz w:val="16"/>
                <w:szCs w:val="16"/>
              </w:rPr>
              <w:t xml:space="preserve">Assessment: </w:t>
            </w:r>
            <w:r>
              <w:rPr>
                <w:rFonts w:ascii="Arial" w:cs="Arial" w:eastAsia="Arial" w:hAnsi="Arial"/>
                <w:b/>
                <w:bCs/>
                <w:color w:val="2E7D32"/>
                <w:sz w:val="16"/>
                <w:szCs w:val="16"/>
              </w:rPr>
              <w:t xml:space="preserve">LOW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Does the vendor have a West African or African regional presence?</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Yes. Nemtek has a dedicated exports division (exports@nemtek.com) serving international markets including Africa. Regional support for Ghana and West Africa is available through the exports channel.</w:t>
            </w:r>
          </w:p>
          <w:p>
            <w:pPr>
              <w:spacing w:before="40" w:after="0" w:line="280"/>
            </w:pPr>
            <w:r>
              <w:rPr>
                <w:rFonts w:ascii="Arial" w:cs="Arial" w:eastAsia="Arial" w:hAnsi="Arial"/>
                <w:b/>
                <w:bCs/>
                <w:color w:val="2E7D32"/>
                <w:sz w:val="16"/>
                <w:szCs w:val="16"/>
              </w:rPr>
              <w:t xml:space="preserve">Assessment: </w:t>
            </w:r>
            <w:r>
              <w:rPr>
                <w:rFonts w:ascii="Arial" w:cs="Arial" w:eastAsia="Arial" w:hAnsi="Arial"/>
                <w:b/>
                <w:bCs/>
                <w:color w:val="2E7D32"/>
                <w:sz w:val="16"/>
                <w:szCs w:val="16"/>
              </w:rPr>
              <w:t xml:space="preserve">LOW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0"/>
                <w:szCs w:val="20"/>
              </w:rPr>
              <w:t xml:space="preserve">SECTION 8 — Internal Scoring (Desk-Based Assessment)</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b/>
                <w:bCs/>
                <w:color w:val="333333"/>
                <w:sz w:val="20"/>
                <w:szCs w:val="20"/>
              </w:rPr>
              <w:t xml:space="preserve">Product Security Rating</w:t>
            </w:r>
          </w:p>
        </w:tc>
        <w:tc>
          <w:tcPr>
            <w:tcW w:type="dxa" w:w="3000"/>
            <w:tcBorders>
              <w:top w:val="single" w:color="CCCCCC" w:sz="1"/>
              <w:left w:val="single" w:color="CCCCCC" w:sz="1"/>
              <w:bottom w:val="single" w:color="CCCCCC" w:sz="1"/>
              <w:right w:val="single" w:color="CCCCCC" w:sz="1"/>
            </w:tcBorders>
            <w:shd w:fill="E5F3E6" w:val="clear"/>
            <w:tcMar>
              <w:top w:type="dxa" w:w="80"/>
              <w:left w:type="dxa" w:w="120"/>
              <w:bottom w:type="dxa" w:w="80"/>
              <w:right w:type="dxa" w:w="80"/>
            </w:tcMar>
          </w:tcPr>
          <w:p>
            <w:pPr>
              <w:jc w:val="center"/>
            </w:pPr>
            <w:r>
              <w:rPr>
                <w:rFonts w:ascii="Arial" w:cs="Arial" w:eastAsia="Arial" w:hAnsi="Arial"/>
                <w:b/>
                <w:bCs/>
                <w:color w:val="2E7D32"/>
                <w:sz w:val="20"/>
                <w:szCs w:val="20"/>
              </w:rPr>
              <w:t xml:space="preserve">LOW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b/>
                <w:bCs/>
                <w:color w:val="333333"/>
                <w:sz w:val="20"/>
                <w:szCs w:val="20"/>
              </w:rPr>
              <w:t xml:space="preserve">Supply Chain Integrity Rating</w:t>
            </w:r>
          </w:p>
        </w:tc>
        <w:tc>
          <w:tcPr>
            <w:tcW w:type="dxa" w:w="3000"/>
            <w:tcBorders>
              <w:top w:val="single" w:color="CCCCCC" w:sz="1"/>
              <w:left w:val="single" w:color="CCCCCC" w:sz="1"/>
              <w:bottom w:val="single" w:color="CCCCCC" w:sz="1"/>
              <w:right w:val="single" w:color="CCCCCC" w:sz="1"/>
            </w:tcBorders>
            <w:shd w:fill="E5F3E6" w:val="clear"/>
            <w:tcMar>
              <w:top w:type="dxa" w:w="80"/>
              <w:left w:type="dxa" w:w="120"/>
              <w:bottom w:type="dxa" w:w="80"/>
              <w:right w:type="dxa" w:w="80"/>
            </w:tcMar>
          </w:tcPr>
          <w:p>
            <w:pPr>
              <w:jc w:val="center"/>
            </w:pPr>
            <w:r>
              <w:rPr>
                <w:rFonts w:ascii="Arial" w:cs="Arial" w:eastAsia="Arial" w:hAnsi="Arial"/>
                <w:b/>
                <w:bCs/>
                <w:color w:val="2E7D32"/>
                <w:sz w:val="20"/>
                <w:szCs w:val="20"/>
              </w:rPr>
              <w:t xml:space="preserve">LOW RISK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b/>
                <w:bCs/>
                <w:color w:val="333333"/>
                <w:sz w:val="20"/>
                <w:szCs w:val="20"/>
              </w:rPr>
              <w:t xml:space="preserve">Regulatory / Geopolitical Risk</w:t>
            </w:r>
          </w:p>
        </w:tc>
        <w:tc>
          <w:tcPr>
            <w:tcW w:type="dxa" w:w="3000"/>
            <w:tcBorders>
              <w:top w:val="single" w:color="CCCCCC" w:sz="1"/>
              <w:left w:val="single" w:color="CCCCCC" w:sz="1"/>
              <w:bottom w:val="single" w:color="CCCCCC" w:sz="1"/>
              <w:right w:val="single" w:color="CCCCCC" w:sz="1"/>
            </w:tcBorders>
            <w:shd w:fill="E5F3E6" w:val="clear"/>
            <w:tcMar>
              <w:top w:type="dxa" w:w="80"/>
              <w:left w:type="dxa" w:w="120"/>
              <w:bottom w:type="dxa" w:w="80"/>
              <w:right w:type="dxa" w:w="80"/>
            </w:tcMar>
          </w:tcPr>
          <w:p>
            <w:pPr>
              <w:jc w:val="center"/>
            </w:pPr>
            <w:r>
              <w:rPr>
                <w:rFonts w:ascii="Arial" w:cs="Arial" w:eastAsia="Arial" w:hAnsi="Arial"/>
                <w:b/>
                <w:bCs/>
                <w:color w:val="2E7D32"/>
                <w:sz w:val="20"/>
                <w:szCs w:val="20"/>
              </w:rPr>
              <w:t xml:space="preserve">LOW RISK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b/>
                <w:bCs/>
                <w:color w:val="333333"/>
                <w:sz w:val="20"/>
                <w:szCs w:val="20"/>
              </w:rPr>
              <w:t xml:space="preserve">Data Handling Risk Rating</w:t>
            </w:r>
          </w:p>
        </w:tc>
        <w:tc>
          <w:tcPr>
            <w:tcW w:type="dxa" w:w="3000"/>
            <w:tcBorders>
              <w:top w:val="single" w:color="CCCCCC" w:sz="1"/>
              <w:left w:val="single" w:color="CCCCCC" w:sz="1"/>
              <w:bottom w:val="single" w:color="CCCCCC" w:sz="1"/>
              <w:right w:val="single" w:color="CCCCCC" w:sz="1"/>
            </w:tcBorders>
            <w:shd w:fill="E5F3E6" w:val="clear"/>
            <w:tcMar>
              <w:top w:type="dxa" w:w="80"/>
              <w:left w:type="dxa" w:w="120"/>
              <w:bottom w:type="dxa" w:w="80"/>
              <w:right w:type="dxa" w:w="80"/>
            </w:tcMar>
          </w:tcPr>
          <w:p>
            <w:pPr>
              <w:jc w:val="center"/>
            </w:pPr>
            <w:r>
              <w:rPr>
                <w:rFonts w:ascii="Arial" w:cs="Arial" w:eastAsia="Arial" w:hAnsi="Arial"/>
                <w:b/>
                <w:bCs/>
                <w:color w:val="2E7D32"/>
                <w:sz w:val="20"/>
                <w:szCs w:val="20"/>
              </w:rPr>
              <w:t xml:space="preserve">LOW RISK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b/>
                <w:bCs/>
                <w:color w:val="333333"/>
                <w:sz w:val="20"/>
                <w:szCs w:val="20"/>
              </w:rPr>
              <w:t xml:space="preserve">Service Continuity Rating</w:t>
            </w:r>
          </w:p>
        </w:tc>
        <w:tc>
          <w:tcPr>
            <w:tcW w:type="dxa" w:w="3000"/>
            <w:tcBorders>
              <w:top w:val="single" w:color="CCCCCC" w:sz="1"/>
              <w:left w:val="single" w:color="CCCCCC" w:sz="1"/>
              <w:bottom w:val="single" w:color="CCCCCC" w:sz="1"/>
              <w:right w:val="single" w:color="CCCCCC" w:sz="1"/>
            </w:tcBorders>
            <w:shd w:fill="E5F3E6" w:val="clear"/>
            <w:tcMar>
              <w:top w:type="dxa" w:w="80"/>
              <w:left w:type="dxa" w:w="120"/>
              <w:bottom w:type="dxa" w:w="80"/>
              <w:right w:type="dxa" w:w="80"/>
            </w:tcMar>
          </w:tcPr>
          <w:p>
            <w:pPr>
              <w:jc w:val="center"/>
            </w:pPr>
            <w:r>
              <w:rPr>
                <w:rFonts w:ascii="Arial" w:cs="Arial" w:eastAsia="Arial" w:hAnsi="Arial"/>
                <w:b/>
                <w:bCs/>
                <w:color w:val="2E7D32"/>
                <w:sz w:val="20"/>
                <w:szCs w:val="20"/>
              </w:rPr>
              <w:t xml:space="preserve">LOW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b/>
                <w:bCs/>
                <w:color w:val="333333"/>
                <w:sz w:val="20"/>
                <w:szCs w:val="20"/>
              </w:rPr>
              <w:t xml:space="preserve">OVERALL VENDOR RISK RATING</w:t>
            </w:r>
          </w:p>
        </w:tc>
        <w:tc>
          <w:tcPr>
            <w:tcW w:type="dxa" w:w="3000"/>
            <w:tcBorders>
              <w:top w:val="single" w:color="CCCCCC" w:sz="1"/>
              <w:left w:val="single" w:color="CCCCCC" w:sz="1"/>
              <w:bottom w:val="single" w:color="CCCCCC" w:sz="1"/>
              <w:right w:val="single" w:color="CCCCCC" w:sz="1"/>
            </w:tcBorders>
            <w:shd w:fill="E5F3E6" w:val="clear"/>
            <w:tcMar>
              <w:top w:type="dxa" w:w="80"/>
              <w:left w:type="dxa" w:w="120"/>
              <w:bottom w:type="dxa" w:w="80"/>
              <w:right w:type="dxa" w:w="80"/>
            </w:tcMar>
          </w:tcPr>
          <w:p>
            <w:pPr>
              <w:jc w:val="center"/>
            </w:pPr>
            <w:r>
              <w:rPr>
                <w:rFonts w:ascii="Arial" w:cs="Arial" w:eastAsia="Arial" w:hAnsi="Arial"/>
                <w:b/>
                <w:bCs/>
                <w:color w:val="2E7D32"/>
                <w:sz w:val="20"/>
                <w:szCs w:val="20"/>
              </w:rPr>
              <w:t xml:space="preserve">LOW RISK — Continue and Monitor</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before="0" w:after="60" w:line="280"/>
            </w:pPr>
            <w:r>
              <w:rPr>
                <w:rFonts w:ascii="Arial" w:cs="Arial" w:eastAsia="Arial" w:hAnsi="Arial"/>
                <w:b/>
                <w:bCs/>
                <w:color w:val="1F4E79"/>
                <w:sz w:val="20"/>
                <w:szCs w:val="20"/>
              </w:rPr>
              <w:t xml:space="preserve">Key Risks Identified:</w:t>
            </w:r>
          </w:p>
          <w:p>
            <w:pPr>
              <w:pStyle w:val="ListParagraph"/>
              <w:numPr>
                <w:ilvl w:val="0"/>
                <w:numId w:val="2"/>
              </w:numPr>
              <w:spacing w:before="30" w:after="30" w:line="280"/>
            </w:pPr>
            <w:r>
              <w:rPr>
                <w:rFonts w:ascii="Arial" w:cs="Arial" w:eastAsia="Arial" w:hAnsi="Arial"/>
                <w:color w:val="333333"/>
                <w:sz w:val="18"/>
                <w:szCs w:val="18"/>
              </w:rPr>
              <w:t xml:space="preserve">No significant cybersecurity, regulatory, or geopolitical risks identified based on public information review.</w:t>
            </w:r>
          </w:p>
          <w:p>
            <w:pPr>
              <w:pStyle w:val="ListParagraph"/>
              <w:numPr>
                <w:ilvl w:val="0"/>
                <w:numId w:val="2"/>
              </w:numPr>
              <w:spacing w:before="30" w:after="30" w:line="280"/>
            </w:pPr>
            <w:r>
              <w:rPr>
                <w:rFonts w:ascii="Arial" w:cs="Arial" w:eastAsia="Arial" w:hAnsi="Arial"/>
                <w:color w:val="333333"/>
                <w:sz w:val="18"/>
                <w:szCs w:val="18"/>
              </w:rPr>
              <w:t xml:space="preserve">Confirm authorised distributor status to ensure warranty coverage and genuine product supply.</w:t>
            </w:r>
          </w:p>
          <w:p>
            <w:pPr>
              <w:pStyle w:val="ListParagraph"/>
              <w:numPr>
                <w:ilvl w:val="0"/>
                <w:numId w:val="2"/>
              </w:numPr>
              <w:spacing w:before="30" w:after="30" w:line="280"/>
            </w:pPr>
            <w:r>
              <w:rPr>
                <w:rFonts w:ascii="Arial" w:cs="Arial" w:eastAsia="Arial" w:hAnsi="Arial"/>
                <w:color w:val="333333"/>
                <w:sz w:val="18"/>
                <w:szCs w:val="18"/>
              </w:rPr>
              <w:t xml:space="preserve">No formal end-of-life notice policy publicly confirmed — direct engagement recommended for product lifecycle planning.</w:t>
            </w:r>
          </w:p>
          <w:p>
            <w:pPr>
              <w:spacing w:before="40" w:after="40" w:line="280"/>
            </w:pPr>
            <w:r>
              <w:t xml:space="preserve"/>
            </w:r>
          </w:p>
          <w:p>
            <w:pPr>
              <w:spacing w:before="0" w:after="60" w:line="280"/>
            </w:pPr>
            <w:r>
              <w:rPr>
                <w:rFonts w:ascii="Arial" w:cs="Arial" w:eastAsia="Arial" w:hAnsi="Arial"/>
                <w:b/>
                <w:bCs/>
                <w:color w:val="1F4E79"/>
                <w:sz w:val="20"/>
                <w:szCs w:val="20"/>
              </w:rPr>
              <w:t xml:space="preserve">Recommended Actions:</w:t>
            </w:r>
          </w:p>
          <w:p>
            <w:pPr>
              <w:pStyle w:val="ListParagraph"/>
              <w:numPr>
                <w:ilvl w:val="0"/>
                <w:numId w:val="2"/>
              </w:numPr>
              <w:spacing w:before="30" w:after="30" w:line="280"/>
            </w:pPr>
            <w:r>
              <w:rPr>
                <w:rFonts w:ascii="Arial" w:cs="Arial" w:eastAsia="Arial" w:hAnsi="Arial"/>
                <w:color w:val="333333"/>
                <w:sz w:val="18"/>
                <w:szCs w:val="18"/>
              </w:rPr>
              <w:t xml:space="preserve">Confirm authorised distributor status with Nemtek exports division (exports@nemtek.com).</w:t>
            </w:r>
          </w:p>
          <w:p>
            <w:pPr>
              <w:pStyle w:val="ListParagraph"/>
              <w:numPr>
                <w:ilvl w:val="0"/>
                <w:numId w:val="2"/>
              </w:numPr>
              <w:spacing w:before="30" w:after="30" w:line="280"/>
            </w:pPr>
            <w:r>
              <w:rPr>
                <w:rFonts w:ascii="Arial" w:cs="Arial" w:eastAsia="Arial" w:hAnsi="Arial"/>
                <w:color w:val="333333"/>
                <w:sz w:val="18"/>
                <w:szCs w:val="18"/>
              </w:rPr>
              <w:t xml:space="preserve">Include Nemtek in annual vendor review cycle — LOW risk does not mean no oversight.</w:t>
            </w:r>
          </w:p>
          <w:p>
            <w:pPr>
              <w:pStyle w:val="ListParagraph"/>
              <w:numPr>
                <w:ilvl w:val="0"/>
                <w:numId w:val="2"/>
              </w:numPr>
              <w:spacing w:before="30" w:after="30" w:line="280"/>
            </w:pPr>
            <w:r>
              <w:rPr>
                <w:rFonts w:ascii="Arial" w:cs="Arial" w:eastAsia="Arial" w:hAnsi="Arial"/>
                <w:color w:val="333333"/>
                <w:sz w:val="18"/>
                <w:szCs w:val="18"/>
              </w:rPr>
              <w:t xml:space="preserve">Request formal product lifecycle commitment for key energizer product lines used in Fensis installations.</w:t>
            </w:r>
          </w:p>
          <w:p>
            <w:pPr>
              <w:pStyle w:val="ListParagraph"/>
              <w:numPr>
                <w:ilvl w:val="0"/>
                <w:numId w:val="2"/>
              </w:numPr>
              <w:spacing w:before="30" w:after="30" w:line="280"/>
            </w:pPr>
            <w:r>
              <w:rPr>
                <w:rFonts w:ascii="Arial" w:cs="Arial" w:eastAsia="Arial" w:hAnsi="Arial"/>
                <w:color w:val="333333"/>
                <w:sz w:val="18"/>
                <w:szCs w:val="18"/>
              </w:rPr>
              <w:t xml:space="preserve">Schedule next review in 12 months.</w:t>
            </w:r>
          </w:p>
        </w:tc>
      </w:tr>
    </w:tbl>
    <w:p>
      <w:pPr>
        <w:spacing w:before="40" w:after="40" w:line="2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160"/>
            </w:tcMar>
          </w:tcPr>
          <w:p>
            <w:pPr>
              <w:spacing w:before="0" w:after="20" w:line="280"/>
            </w:pPr>
            <w:r>
              <w:rPr>
                <w:rFonts w:ascii="Arial" w:cs="Arial" w:eastAsia="Arial" w:hAnsi="Arial"/>
                <w:b/>
                <w:bCs/>
                <w:color w:val="FFFFFF"/>
                <w:sz w:val="28"/>
                <w:szCs w:val="28"/>
              </w:rPr>
              <w:t xml:space="preserve">Vendor Assessment: Centurion Systems (Pty) Ltd</w:t>
            </w:r>
          </w:p>
          <w:p>
            <w:pPr>
              <w:spacing w:before="0" w:after="0" w:line="280"/>
            </w:pPr>
            <w:r>
              <w:rPr>
                <w:rFonts w:ascii="Arial" w:cs="Arial" w:eastAsia="Arial" w:hAnsi="Arial"/>
                <w:color w:val="D6E4F0"/>
                <w:sz w:val="18"/>
                <w:szCs w:val="18"/>
              </w:rPr>
              <w:t xml:space="preserve">Tier: TIER 1 — Critical  |  Products: Gate motors, access control systems, barriers, GSM modules</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18"/>
                <w:szCs w:val="18"/>
              </w:rPr>
              <w:t xml:space="preserve">Assessment Method: </w:t>
            </w:r>
            <w:r>
              <w:rPr>
                <w:rFonts w:ascii="Arial" w:cs="Arial" w:eastAsia="Arial" w:hAnsi="Arial"/>
                <w:color w:val="333333"/>
                <w:sz w:val="18"/>
                <w:szCs w:val="18"/>
              </w:rPr>
              <w:t xml:space="preserve">Desk-based review using publicly available information — vendor websites, security advisories, CVE databases, regulatory publications, and industry reports.</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SECTION 2 — Product Security and Firmware Management</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Does the vendor provide documented firmware update guidance?</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Yes. Centurion Systems provides product manuals, installation guides, and technical documentation at centsys.co.za and centsys.com. Smart product lines including the D5 SMART and D10 SMART include documented update procedures. Technical support is available at tech@centsys.co.za.</w:t>
            </w:r>
          </w:p>
          <w:p>
            <w:pPr>
              <w:spacing w:before="40" w:after="0" w:line="280"/>
            </w:pPr>
            <w:r>
              <w:rPr>
                <w:rFonts w:ascii="Arial" w:cs="Arial" w:eastAsia="Arial" w:hAnsi="Arial"/>
                <w:b/>
                <w:bCs/>
                <w:color w:val="2E7D32"/>
                <w:sz w:val="16"/>
                <w:szCs w:val="16"/>
              </w:rPr>
              <w:t xml:space="preserve">Assessment: </w:t>
            </w:r>
            <w:r>
              <w:rPr>
                <w:rFonts w:ascii="Arial" w:cs="Arial" w:eastAsia="Arial" w:hAnsi="Arial"/>
                <w:b/>
                <w:bCs/>
                <w:color w:val="2E7D32"/>
                <w:sz w:val="16"/>
                <w:szCs w:val="16"/>
              </w:rPr>
              <w:t xml:space="preserve">LOW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Are firmware updates verified?</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Centurion products are primarily hardware access control devices. Smart products include app-based control (G-ULTRA GSM, G-REMOTE). The company holds ISO 9001 certification supporting quality management processes. No public documentation on digital firmware signing was identified.</w:t>
            </w:r>
          </w:p>
          <w:p>
            <w:pPr>
              <w:spacing w:before="40" w:after="0" w:line="280"/>
            </w:pPr>
            <w:r>
              <w:rPr>
                <w:rFonts w:ascii="Arial" w:cs="Arial" w:eastAsia="Arial" w:hAnsi="Arial"/>
                <w:b/>
                <w:bCs/>
                <w:color w:val="2E7D32"/>
                <w:sz w:val="16"/>
                <w:szCs w:val="16"/>
              </w:rPr>
              <w:t xml:space="preserve">Assessment: </w:t>
            </w:r>
            <w:r>
              <w:rPr>
                <w:rFonts w:ascii="Arial" w:cs="Arial" w:eastAsia="Arial" w:hAnsi="Arial"/>
                <w:b/>
                <w:bCs/>
                <w:color w:val="2E7D32"/>
                <w:sz w:val="16"/>
                <w:szCs w:val="16"/>
              </w:rPr>
              <w:t xml:space="preserve">LOW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Does the vendor maintain a security advisory page?</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No dedicated cybersecurity advisory page was identified — consistent with the hardware access control product profile. No CVEs were identified for Centurion products in public vulnerability databases.</w:t>
            </w:r>
          </w:p>
          <w:p>
            <w:pPr>
              <w:spacing w:before="40" w:after="0" w:line="280"/>
            </w:pPr>
            <w:r>
              <w:rPr>
                <w:rFonts w:ascii="Arial" w:cs="Arial" w:eastAsia="Arial" w:hAnsi="Arial"/>
                <w:b/>
                <w:bCs/>
                <w:color w:val="2E7D32"/>
                <w:sz w:val="16"/>
                <w:szCs w:val="16"/>
              </w:rPr>
              <w:t xml:space="preserve">Assessment: </w:t>
            </w:r>
            <w:r>
              <w:rPr>
                <w:rFonts w:ascii="Arial" w:cs="Arial" w:eastAsia="Arial" w:hAnsi="Arial"/>
                <w:b/>
                <w:bCs/>
                <w:color w:val="2E7D32"/>
                <w:sz w:val="16"/>
                <w:szCs w:val="16"/>
              </w:rPr>
              <w:t xml:space="preserve">LOW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What is the vendor's product lifecycle policy?</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Centurion has manufactured in South Africa since 1986 and distributes to over 70 countries. The company maintains spare parts for current and legacy product lines. No formal end-of-life notice policy was publicly identified however the 38-year operating history suggests strong continuity.</w:t>
            </w:r>
          </w:p>
          <w:p>
            <w:pPr>
              <w:spacing w:before="40" w:after="0" w:line="280"/>
            </w:pPr>
            <w:r>
              <w:rPr>
                <w:rFonts w:ascii="Arial" w:cs="Arial" w:eastAsia="Arial" w:hAnsi="Arial"/>
                <w:b/>
                <w:bCs/>
                <w:color w:val="2E7D32"/>
                <w:sz w:val="16"/>
                <w:szCs w:val="16"/>
              </w:rPr>
              <w:t xml:space="preserve">Assessment: </w:t>
            </w:r>
            <w:r>
              <w:rPr>
                <w:rFonts w:ascii="Arial" w:cs="Arial" w:eastAsia="Arial" w:hAnsi="Arial"/>
                <w:b/>
                <w:bCs/>
                <w:color w:val="2E7D32"/>
                <w:sz w:val="16"/>
                <w:szCs w:val="16"/>
              </w:rPr>
              <w:t xml:space="preserve">LOW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Do product manuals address secure installation practices?</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Yes. Centurion product documentation requires installation according to manufacturer specifications to preserve warranty. Code-hopping technology is used in radio receivers to prevent replay attacks — demonstrating security-conscious product design.</w:t>
            </w:r>
          </w:p>
          <w:p>
            <w:pPr>
              <w:spacing w:before="40" w:after="0" w:line="280"/>
            </w:pPr>
            <w:r>
              <w:rPr>
                <w:rFonts w:ascii="Arial" w:cs="Arial" w:eastAsia="Arial" w:hAnsi="Arial"/>
                <w:b/>
                <w:bCs/>
                <w:color w:val="2E7D32"/>
                <w:sz w:val="16"/>
                <w:szCs w:val="16"/>
              </w:rPr>
              <w:t xml:space="preserve">Assessment: </w:t>
            </w:r>
            <w:r>
              <w:rPr>
                <w:rFonts w:ascii="Arial" w:cs="Arial" w:eastAsia="Arial" w:hAnsi="Arial"/>
                <w:b/>
                <w:bCs/>
                <w:color w:val="2E7D32"/>
                <w:sz w:val="16"/>
                <w:szCs w:val="16"/>
              </w:rPr>
              <w:t xml:space="preserve">LOW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SECTION 3 — Vulnerability and Incident Escalation</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What is the vendor's vulnerability notification process?</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No formal cybersecurity vulnerability notification process was publicly identified. Technical support is available via WhatsApp (+27 (0)83 650 4244) and email. The hardware-focused product profile presents a low cybersecurity vulnerability risk.</w:t>
            </w:r>
          </w:p>
          <w:p>
            <w:pPr>
              <w:spacing w:before="40" w:after="0" w:line="280"/>
            </w:pPr>
            <w:r>
              <w:rPr>
                <w:rFonts w:ascii="Arial" w:cs="Arial" w:eastAsia="Arial" w:hAnsi="Arial"/>
                <w:b/>
                <w:bCs/>
                <w:color w:val="2E7D32"/>
                <w:sz w:val="16"/>
                <w:szCs w:val="16"/>
              </w:rPr>
              <w:t xml:space="preserve">Assessment: </w:t>
            </w:r>
            <w:r>
              <w:rPr>
                <w:rFonts w:ascii="Arial" w:cs="Arial" w:eastAsia="Arial" w:hAnsi="Arial"/>
                <w:b/>
                <w:bCs/>
                <w:color w:val="2E7D32"/>
                <w:sz w:val="16"/>
                <w:szCs w:val="16"/>
              </w:rPr>
              <w:t xml:space="preserve">LOW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Does the vendor operate a vulnerability disclosure programme?</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Not publicly identified. No CVEs were identified in public vulnerability databases for Centurion Systems products.</w:t>
            </w:r>
          </w:p>
          <w:p>
            <w:pPr>
              <w:spacing w:before="40" w:after="0" w:line="280"/>
            </w:pPr>
            <w:r>
              <w:rPr>
                <w:rFonts w:ascii="Arial" w:cs="Arial" w:eastAsia="Arial" w:hAnsi="Arial"/>
                <w:b/>
                <w:bCs/>
                <w:color w:val="2E7D32"/>
                <w:sz w:val="16"/>
                <w:szCs w:val="16"/>
              </w:rPr>
              <w:t xml:space="preserve">Assessment: </w:t>
            </w:r>
            <w:r>
              <w:rPr>
                <w:rFonts w:ascii="Arial" w:cs="Arial" w:eastAsia="Arial" w:hAnsi="Arial"/>
                <w:b/>
                <w:bCs/>
                <w:color w:val="2E7D32"/>
                <w:sz w:val="16"/>
                <w:szCs w:val="16"/>
              </w:rPr>
              <w:t xml:space="preserve">LOW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Has the vendor experienced publicly disclosed security incidents?</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No publicly disclosed cybersecurity incidents or CVEs were identified for Centurion Systems. ISO 9001 certification and 38-year manufacturing history support a stable quality profile.</w:t>
            </w:r>
          </w:p>
          <w:p>
            <w:pPr>
              <w:spacing w:before="40" w:after="0" w:line="280"/>
            </w:pPr>
            <w:r>
              <w:rPr>
                <w:rFonts w:ascii="Arial" w:cs="Arial" w:eastAsia="Arial" w:hAnsi="Arial"/>
                <w:b/>
                <w:bCs/>
                <w:color w:val="2E7D32"/>
                <w:sz w:val="16"/>
                <w:szCs w:val="16"/>
              </w:rPr>
              <w:t xml:space="preserve">Assessment: </w:t>
            </w:r>
            <w:r>
              <w:rPr>
                <w:rFonts w:ascii="Arial" w:cs="Arial" w:eastAsia="Arial" w:hAnsi="Arial"/>
                <w:b/>
                <w:bCs/>
                <w:color w:val="2E7D32"/>
                <w:sz w:val="16"/>
                <w:szCs w:val="16"/>
              </w:rPr>
              <w:t xml:space="preserve">LOW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SECTION 4 — Supply Chain Integrity</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Does the vendor operate an authorised distributor programme?</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Yes. Centurion Systems maintains authorised distributors and installers across over 70 countries. The company has a dedicated West Africa office in Lagos, Nigeria. Fensis should confirm its authorised partner status with the Lagos office.</w:t>
            </w:r>
          </w:p>
          <w:p>
            <w:pPr>
              <w:spacing w:before="40" w:after="0" w:line="280"/>
            </w:pPr>
            <w:r>
              <w:rPr>
                <w:rFonts w:ascii="Arial" w:cs="Arial" w:eastAsia="Arial" w:hAnsi="Arial"/>
                <w:b/>
                <w:bCs/>
                <w:color w:val="2E7D32"/>
                <w:sz w:val="16"/>
                <w:szCs w:val="16"/>
              </w:rPr>
              <w:t xml:space="preserve">Assessment: </w:t>
            </w:r>
            <w:r>
              <w:rPr>
                <w:rFonts w:ascii="Arial" w:cs="Arial" w:eastAsia="Arial" w:hAnsi="Arial"/>
                <w:b/>
                <w:bCs/>
                <w:color w:val="2E7D32"/>
                <w:sz w:val="16"/>
                <w:szCs w:val="16"/>
              </w:rPr>
              <w:t xml:space="preserve">LOW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What mechanisms verify product authenticity?</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Centurion products are manufactured in South Africa under ISO 9001 certification. The regional West Africa office in Lagos provides a direct supply and support channel. Counterfeit product risk is significantly lower than Chinese-manufactured surveillance equipment.</w:t>
            </w:r>
          </w:p>
          <w:p>
            <w:pPr>
              <w:spacing w:before="40" w:after="0" w:line="280"/>
            </w:pPr>
            <w:r>
              <w:rPr>
                <w:rFonts w:ascii="Arial" w:cs="Arial" w:eastAsia="Arial" w:hAnsi="Arial"/>
                <w:b/>
                <w:bCs/>
                <w:color w:val="2E7D32"/>
                <w:sz w:val="16"/>
                <w:szCs w:val="16"/>
              </w:rPr>
              <w:t xml:space="preserve">Assessment: </w:t>
            </w:r>
            <w:r>
              <w:rPr>
                <w:rFonts w:ascii="Arial" w:cs="Arial" w:eastAsia="Arial" w:hAnsi="Arial"/>
                <w:b/>
                <w:bCs/>
                <w:color w:val="2E7D32"/>
                <w:sz w:val="16"/>
                <w:szCs w:val="16"/>
              </w:rPr>
              <w:t xml:space="preserve">LOW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What quality control standards apply?</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Centurion Systems holds ISO 9001 certification as confirmed on the Nigeria regional page (centsys.com/nigeria). Products are manufactured in South Africa to international standards with a documented 38-year manufacturing history.</w:t>
            </w:r>
          </w:p>
          <w:p>
            <w:pPr>
              <w:spacing w:before="40" w:after="0" w:line="280"/>
            </w:pPr>
            <w:r>
              <w:rPr>
                <w:rFonts w:ascii="Arial" w:cs="Arial" w:eastAsia="Arial" w:hAnsi="Arial"/>
                <w:b/>
                <w:bCs/>
                <w:color w:val="2E7D32"/>
                <w:sz w:val="16"/>
                <w:szCs w:val="16"/>
              </w:rPr>
              <w:t xml:space="preserve">Assessment: </w:t>
            </w:r>
            <w:r>
              <w:rPr>
                <w:rFonts w:ascii="Arial" w:cs="Arial" w:eastAsia="Arial" w:hAnsi="Arial"/>
                <w:b/>
                <w:bCs/>
                <w:color w:val="2E7D32"/>
                <w:sz w:val="16"/>
                <w:szCs w:val="16"/>
              </w:rPr>
              <w:t xml:space="preserve">LOW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SECTION 5 — Regulatory and Geopolitical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Has the vendor been subject to procurement bans or regulatory restrictions?</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No regulatory restrictions, procurement bans, or sanctions were identified for Centurion Systems in any jurisdiction. The company is a privately held South African manufacturer with no government ownership concerns.</w:t>
            </w:r>
          </w:p>
          <w:p>
            <w:pPr>
              <w:spacing w:before="40" w:after="0" w:line="280"/>
            </w:pPr>
            <w:r>
              <w:rPr>
                <w:rFonts w:ascii="Arial" w:cs="Arial" w:eastAsia="Arial" w:hAnsi="Arial"/>
                <w:b/>
                <w:bCs/>
                <w:color w:val="2E7D32"/>
                <w:sz w:val="16"/>
                <w:szCs w:val="16"/>
              </w:rPr>
              <w:t xml:space="preserve">Assessment: </w:t>
            </w:r>
            <w:r>
              <w:rPr>
                <w:rFonts w:ascii="Arial" w:cs="Arial" w:eastAsia="Arial" w:hAnsi="Arial"/>
                <w:b/>
                <w:bCs/>
                <w:color w:val="2E7D32"/>
                <w:sz w:val="16"/>
                <w:szCs w:val="16"/>
              </w:rPr>
              <w:t xml:space="preserve">LOW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Does the vendor have ownership links to a government entity?</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No government ownership or state-linked investment was identified. Centurion Systems is a privately owned South African company with no national security or geopolitical concerns.</w:t>
            </w:r>
          </w:p>
          <w:p>
            <w:pPr>
              <w:spacing w:before="40" w:after="0" w:line="280"/>
            </w:pPr>
            <w:r>
              <w:rPr>
                <w:rFonts w:ascii="Arial" w:cs="Arial" w:eastAsia="Arial" w:hAnsi="Arial"/>
                <w:b/>
                <w:bCs/>
                <w:color w:val="2E7D32"/>
                <w:sz w:val="16"/>
                <w:szCs w:val="16"/>
              </w:rPr>
              <w:t xml:space="preserve">Assessment: </w:t>
            </w:r>
            <w:r>
              <w:rPr>
                <w:rFonts w:ascii="Arial" w:cs="Arial" w:eastAsia="Arial" w:hAnsi="Arial"/>
                <w:b/>
                <w:bCs/>
                <w:color w:val="2E7D32"/>
                <w:sz w:val="16"/>
                <w:szCs w:val="16"/>
              </w:rPr>
              <w:t xml:space="preserve">LOW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SECTION 6 — Data Handling</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Does the vendor receive or process data relating to Fensis clients?</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Limited. Smart Centurion products using the G-WEB portal or G-REMOTE app may collect access event data controlled by the installer and end user. No evidence of data transmission for non-smart products was identified.</w:t>
            </w:r>
          </w:p>
          <w:p>
            <w:pPr>
              <w:spacing w:before="40" w:after="0" w:line="280"/>
            </w:pPr>
            <w:r>
              <w:rPr>
                <w:rFonts w:ascii="Arial" w:cs="Arial" w:eastAsia="Arial" w:hAnsi="Arial"/>
                <w:b/>
                <w:bCs/>
                <w:color w:val="2E7D32"/>
                <w:sz w:val="16"/>
                <w:szCs w:val="16"/>
              </w:rPr>
              <w:t xml:space="preserve">Assessment: </w:t>
            </w:r>
            <w:r>
              <w:rPr>
                <w:rFonts w:ascii="Arial" w:cs="Arial" w:eastAsia="Arial" w:hAnsi="Arial"/>
                <w:b/>
                <w:bCs/>
                <w:color w:val="2E7D32"/>
                <w:sz w:val="16"/>
                <w:szCs w:val="16"/>
              </w:rPr>
              <w:t xml:space="preserve">LOW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Do vendor products transmit operational data to vendor servers?</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Smart products using the G-WEB portal transmit access data for remote monitoring. Fensis should inform clients using smart gate motors about the data collected and confirm consent before enabling cloud connectivity features.</w:t>
            </w:r>
          </w:p>
          <w:p>
            <w:pPr>
              <w:spacing w:before="40" w:after="0" w:line="280"/>
            </w:pPr>
            <w:r>
              <w:rPr>
                <w:rFonts w:ascii="Arial" w:cs="Arial" w:eastAsia="Arial" w:hAnsi="Arial"/>
                <w:b/>
                <w:bCs/>
                <w:color w:val="1A5EA8"/>
                <w:sz w:val="16"/>
                <w:szCs w:val="16"/>
              </w:rPr>
              <w:t xml:space="preserve">Assessment: </w:t>
            </w:r>
            <w:r>
              <w:rPr>
                <w:rFonts w:ascii="Arial" w:cs="Arial" w:eastAsia="Arial" w:hAnsi="Arial"/>
                <w:b/>
                <w:bCs/>
                <w:color w:val="1A5EA8"/>
                <w:sz w:val="16"/>
                <w:szCs w:val="16"/>
              </w:rPr>
              <w:t xml:space="preserve">MEDIUM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SECTION 7 — Service Continuity and Support</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What warranty and support terms does the vendor provide?</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Centurion motors carry a 2-year factory warranty for new products. International technical support is available via WhatsApp (+27 (0)83 650 4244) Monday to Friday and Saturday mornings. The Lagos West Africa office provides dedicated regional support.</w:t>
            </w:r>
          </w:p>
          <w:p>
            <w:pPr>
              <w:spacing w:before="40" w:after="0" w:line="280"/>
            </w:pPr>
            <w:r>
              <w:rPr>
                <w:rFonts w:ascii="Arial" w:cs="Arial" w:eastAsia="Arial" w:hAnsi="Arial"/>
                <w:b/>
                <w:bCs/>
                <w:color w:val="2E7D32"/>
                <w:sz w:val="16"/>
                <w:szCs w:val="16"/>
              </w:rPr>
              <w:t xml:space="preserve">Assessment: </w:t>
            </w:r>
            <w:r>
              <w:rPr>
                <w:rFonts w:ascii="Arial" w:cs="Arial" w:eastAsia="Arial" w:hAnsi="Arial"/>
                <w:b/>
                <w:bCs/>
                <w:color w:val="2E7D32"/>
                <w:sz w:val="16"/>
                <w:szCs w:val="16"/>
              </w:rPr>
              <w:t xml:space="preserve">LOW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Does the vendor provide advance notice of product discontinuation?</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Centurion's consistent product evolution across 38 years of manufacturing suggests strong supply continuity. No formal discontinuation notice policy was publicly confirmed.</w:t>
            </w:r>
          </w:p>
          <w:p>
            <w:pPr>
              <w:spacing w:before="40" w:after="0" w:line="280"/>
            </w:pPr>
            <w:r>
              <w:rPr>
                <w:rFonts w:ascii="Arial" w:cs="Arial" w:eastAsia="Arial" w:hAnsi="Arial"/>
                <w:b/>
                <w:bCs/>
                <w:color w:val="2E7D32"/>
                <w:sz w:val="16"/>
                <w:szCs w:val="16"/>
              </w:rPr>
              <w:t xml:space="preserve">Assessment: </w:t>
            </w:r>
            <w:r>
              <w:rPr>
                <w:rFonts w:ascii="Arial" w:cs="Arial" w:eastAsia="Arial" w:hAnsi="Arial"/>
                <w:b/>
                <w:bCs/>
                <w:color w:val="2E7D32"/>
                <w:sz w:val="16"/>
                <w:szCs w:val="16"/>
              </w:rPr>
              <w:t xml:space="preserve">LOW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80"/>
            </w:tcMar>
          </w:tcPr>
          <w:p>
            <w:pPr>
              <w:spacing w:before="0" w:after="0" w:line="280"/>
            </w:pPr>
            <w:r>
              <w:rPr>
                <w:rFonts w:ascii="Arial" w:cs="Arial" w:eastAsia="Arial" w:hAnsi="Arial"/>
                <w:color w:val="333333"/>
                <w:sz w:val="18"/>
                <w:szCs w:val="18"/>
              </w:rPr>
              <w:t xml:space="preserve">Does the vendor have a West African or African regional presence?</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spacing w:before="0" w:after="40" w:line="280"/>
            </w:pPr>
            <w:r>
              <w:rPr>
                <w:rFonts w:ascii="Arial" w:cs="Arial" w:eastAsia="Arial" w:hAnsi="Arial"/>
                <w:b/>
                <w:bCs/>
                <w:color w:val="2E75B6"/>
                <w:sz w:val="18"/>
                <w:szCs w:val="18"/>
              </w:rPr>
              <w:t xml:space="preserve">Response: </w:t>
            </w:r>
            <w:r>
              <w:rPr>
                <w:rFonts w:ascii="Arial" w:cs="Arial" w:eastAsia="Arial" w:hAnsi="Arial"/>
                <w:color w:val="333333"/>
                <w:sz w:val="18"/>
                <w:szCs w:val="18"/>
              </w:rPr>
              <w:t xml:space="preserve">YES — strongest regional presence of all four vendors reviewed. Centurion Systems West Africa is headquartered in Lagos, Nigeria with a stated mandate to support distributors and installers across West Africa. Telephone and technical support available for West African partners.</w:t>
            </w:r>
          </w:p>
          <w:p>
            <w:pPr>
              <w:spacing w:before="40" w:after="0" w:line="280"/>
            </w:pPr>
            <w:r>
              <w:rPr>
                <w:rFonts w:ascii="Arial" w:cs="Arial" w:eastAsia="Arial" w:hAnsi="Arial"/>
                <w:b/>
                <w:bCs/>
                <w:color w:val="2E7D32"/>
                <w:sz w:val="16"/>
                <w:szCs w:val="16"/>
              </w:rPr>
              <w:t xml:space="preserve">Assessment: </w:t>
            </w:r>
            <w:r>
              <w:rPr>
                <w:rFonts w:ascii="Arial" w:cs="Arial" w:eastAsia="Arial" w:hAnsi="Arial"/>
                <w:b/>
                <w:bCs/>
                <w:color w:val="2E7D32"/>
                <w:sz w:val="16"/>
                <w:szCs w:val="16"/>
              </w:rPr>
              <w:t xml:space="preserve">LOW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0"/>
                <w:szCs w:val="20"/>
              </w:rPr>
              <w:t xml:space="preserve">SECTION 8 — Internal Scoring (Desk-Based Assessment)</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b/>
                <w:bCs/>
                <w:color w:val="333333"/>
                <w:sz w:val="20"/>
                <w:szCs w:val="20"/>
              </w:rPr>
              <w:t xml:space="preserve">Product Security Rating</w:t>
            </w:r>
          </w:p>
        </w:tc>
        <w:tc>
          <w:tcPr>
            <w:tcW w:type="dxa" w:w="3000"/>
            <w:tcBorders>
              <w:top w:val="single" w:color="CCCCCC" w:sz="1"/>
              <w:left w:val="single" w:color="CCCCCC" w:sz="1"/>
              <w:bottom w:val="single" w:color="CCCCCC" w:sz="1"/>
              <w:right w:val="single" w:color="CCCCCC" w:sz="1"/>
            </w:tcBorders>
            <w:shd w:fill="E5F3E6" w:val="clear"/>
            <w:tcMar>
              <w:top w:type="dxa" w:w="80"/>
              <w:left w:type="dxa" w:w="120"/>
              <w:bottom w:type="dxa" w:w="80"/>
              <w:right w:type="dxa" w:w="80"/>
            </w:tcMar>
          </w:tcPr>
          <w:p>
            <w:pPr>
              <w:jc w:val="center"/>
            </w:pPr>
            <w:r>
              <w:rPr>
                <w:rFonts w:ascii="Arial" w:cs="Arial" w:eastAsia="Arial" w:hAnsi="Arial"/>
                <w:b/>
                <w:bCs/>
                <w:color w:val="2E7D32"/>
                <w:sz w:val="20"/>
                <w:szCs w:val="20"/>
              </w:rPr>
              <w:t xml:space="preserve">LOW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b/>
                <w:bCs/>
                <w:color w:val="333333"/>
                <w:sz w:val="20"/>
                <w:szCs w:val="20"/>
              </w:rPr>
              <w:t xml:space="preserve">Supply Chain Integrity Rating</w:t>
            </w:r>
          </w:p>
        </w:tc>
        <w:tc>
          <w:tcPr>
            <w:tcW w:type="dxa" w:w="3000"/>
            <w:tcBorders>
              <w:top w:val="single" w:color="CCCCCC" w:sz="1"/>
              <w:left w:val="single" w:color="CCCCCC" w:sz="1"/>
              <w:bottom w:val="single" w:color="CCCCCC" w:sz="1"/>
              <w:right w:val="single" w:color="CCCCCC" w:sz="1"/>
            </w:tcBorders>
            <w:shd w:fill="E5F3E6" w:val="clear"/>
            <w:tcMar>
              <w:top w:type="dxa" w:w="80"/>
              <w:left w:type="dxa" w:w="120"/>
              <w:bottom w:type="dxa" w:w="80"/>
              <w:right w:type="dxa" w:w="80"/>
            </w:tcMar>
          </w:tcPr>
          <w:p>
            <w:pPr>
              <w:jc w:val="center"/>
            </w:pPr>
            <w:r>
              <w:rPr>
                <w:rFonts w:ascii="Arial" w:cs="Arial" w:eastAsia="Arial" w:hAnsi="Arial"/>
                <w:b/>
                <w:bCs/>
                <w:color w:val="2E7D32"/>
                <w:sz w:val="20"/>
                <w:szCs w:val="20"/>
              </w:rPr>
              <w:t xml:space="preserve">LOW RISK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b/>
                <w:bCs/>
                <w:color w:val="333333"/>
                <w:sz w:val="20"/>
                <w:szCs w:val="20"/>
              </w:rPr>
              <w:t xml:space="preserve">Regulatory / Geopolitical Risk</w:t>
            </w:r>
          </w:p>
        </w:tc>
        <w:tc>
          <w:tcPr>
            <w:tcW w:type="dxa" w:w="3000"/>
            <w:tcBorders>
              <w:top w:val="single" w:color="CCCCCC" w:sz="1"/>
              <w:left w:val="single" w:color="CCCCCC" w:sz="1"/>
              <w:bottom w:val="single" w:color="CCCCCC" w:sz="1"/>
              <w:right w:val="single" w:color="CCCCCC" w:sz="1"/>
            </w:tcBorders>
            <w:shd w:fill="E5F3E6" w:val="clear"/>
            <w:tcMar>
              <w:top w:type="dxa" w:w="80"/>
              <w:left w:type="dxa" w:w="120"/>
              <w:bottom w:type="dxa" w:w="80"/>
              <w:right w:type="dxa" w:w="80"/>
            </w:tcMar>
          </w:tcPr>
          <w:p>
            <w:pPr>
              <w:jc w:val="center"/>
            </w:pPr>
            <w:r>
              <w:rPr>
                <w:rFonts w:ascii="Arial" w:cs="Arial" w:eastAsia="Arial" w:hAnsi="Arial"/>
                <w:b/>
                <w:bCs/>
                <w:color w:val="2E7D32"/>
                <w:sz w:val="20"/>
                <w:szCs w:val="20"/>
              </w:rPr>
              <w:t xml:space="preserve">LOW RISK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b/>
                <w:bCs/>
                <w:color w:val="333333"/>
                <w:sz w:val="20"/>
                <w:szCs w:val="20"/>
              </w:rPr>
              <w:t xml:space="preserve">Data Handling Risk Rating</w:t>
            </w:r>
          </w:p>
        </w:tc>
        <w:tc>
          <w:tcPr>
            <w:tcW w:type="dxa" w:w="3000"/>
            <w:tcBorders>
              <w:top w:val="single" w:color="CCCCCC" w:sz="1"/>
              <w:left w:val="single" w:color="CCCCCC" w:sz="1"/>
              <w:bottom w:val="single" w:color="CCCCCC" w:sz="1"/>
              <w:right w:val="single" w:color="CCCCCC" w:sz="1"/>
            </w:tcBorders>
            <w:shd w:fill="E5F3E6" w:val="clear"/>
            <w:tcMar>
              <w:top w:type="dxa" w:w="80"/>
              <w:left w:type="dxa" w:w="120"/>
              <w:bottom w:type="dxa" w:w="80"/>
              <w:right w:type="dxa" w:w="80"/>
            </w:tcMar>
          </w:tcPr>
          <w:p>
            <w:pPr>
              <w:jc w:val="center"/>
            </w:pPr>
            <w:r>
              <w:rPr>
                <w:rFonts w:ascii="Arial" w:cs="Arial" w:eastAsia="Arial" w:hAnsi="Arial"/>
                <w:b/>
                <w:bCs/>
                <w:color w:val="2E7D32"/>
                <w:sz w:val="20"/>
                <w:szCs w:val="20"/>
              </w:rPr>
              <w:t xml:space="preserve">LOW RISK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b/>
                <w:bCs/>
                <w:color w:val="333333"/>
                <w:sz w:val="20"/>
                <w:szCs w:val="20"/>
              </w:rPr>
              <w:t xml:space="preserve">Service Continuity Rating</w:t>
            </w:r>
          </w:p>
        </w:tc>
        <w:tc>
          <w:tcPr>
            <w:tcW w:type="dxa" w:w="3000"/>
            <w:tcBorders>
              <w:top w:val="single" w:color="CCCCCC" w:sz="1"/>
              <w:left w:val="single" w:color="CCCCCC" w:sz="1"/>
              <w:bottom w:val="single" w:color="CCCCCC" w:sz="1"/>
              <w:right w:val="single" w:color="CCCCCC" w:sz="1"/>
            </w:tcBorders>
            <w:shd w:fill="E5F3E6" w:val="clear"/>
            <w:tcMar>
              <w:top w:type="dxa" w:w="80"/>
              <w:left w:type="dxa" w:w="120"/>
              <w:bottom w:type="dxa" w:w="80"/>
              <w:right w:type="dxa" w:w="80"/>
            </w:tcMar>
          </w:tcPr>
          <w:p>
            <w:pPr>
              <w:jc w:val="center"/>
            </w:pPr>
            <w:r>
              <w:rPr>
                <w:rFonts w:ascii="Arial" w:cs="Arial" w:eastAsia="Arial" w:hAnsi="Arial"/>
                <w:b/>
                <w:bCs/>
                <w:color w:val="2E7D32"/>
                <w:sz w:val="20"/>
                <w:szCs w:val="20"/>
              </w:rPr>
              <w:t xml:space="preserve">LOW RISK</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b/>
                <w:bCs/>
                <w:color w:val="333333"/>
                <w:sz w:val="20"/>
                <w:szCs w:val="20"/>
              </w:rPr>
              <w:t xml:space="preserve">OVERALL VENDOR RISK RATING</w:t>
            </w:r>
          </w:p>
        </w:tc>
        <w:tc>
          <w:tcPr>
            <w:tcW w:type="dxa" w:w="3000"/>
            <w:tcBorders>
              <w:top w:val="single" w:color="CCCCCC" w:sz="1"/>
              <w:left w:val="single" w:color="CCCCCC" w:sz="1"/>
              <w:bottom w:val="single" w:color="CCCCCC" w:sz="1"/>
              <w:right w:val="single" w:color="CCCCCC" w:sz="1"/>
            </w:tcBorders>
            <w:shd w:fill="E5F3E6" w:val="clear"/>
            <w:tcMar>
              <w:top w:type="dxa" w:w="80"/>
              <w:left w:type="dxa" w:w="120"/>
              <w:bottom w:type="dxa" w:w="80"/>
              <w:right w:type="dxa" w:w="80"/>
            </w:tcMar>
          </w:tcPr>
          <w:p>
            <w:pPr>
              <w:jc w:val="center"/>
            </w:pPr>
            <w:r>
              <w:rPr>
                <w:rFonts w:ascii="Arial" w:cs="Arial" w:eastAsia="Arial" w:hAnsi="Arial"/>
                <w:b/>
                <w:bCs/>
                <w:color w:val="2E7D32"/>
                <w:sz w:val="20"/>
                <w:szCs w:val="20"/>
              </w:rPr>
              <w:t xml:space="preserve">LOW RISK — Continue and Monitor</w:t>
            </w:r>
          </w:p>
        </w:tc>
      </w:tr>
    </w:tbl>
    <w:p>
      <w:pPr>
        <w:spacing w:before="40" w:after="40" w:lin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before="0" w:after="60" w:line="280"/>
            </w:pPr>
            <w:r>
              <w:rPr>
                <w:rFonts w:ascii="Arial" w:cs="Arial" w:eastAsia="Arial" w:hAnsi="Arial"/>
                <w:b/>
                <w:bCs/>
                <w:color w:val="1F4E79"/>
                <w:sz w:val="20"/>
                <w:szCs w:val="20"/>
              </w:rPr>
              <w:t xml:space="preserve">Key Risks Identified:</w:t>
            </w:r>
          </w:p>
          <w:p>
            <w:pPr>
              <w:pStyle w:val="ListParagraph"/>
              <w:numPr>
                <w:ilvl w:val="0"/>
                <w:numId w:val="2"/>
              </w:numPr>
              <w:spacing w:before="30" w:after="30" w:line="280"/>
            </w:pPr>
            <w:r>
              <w:rPr>
                <w:rFonts w:ascii="Arial" w:cs="Arial" w:eastAsia="Arial" w:hAnsi="Arial"/>
                <w:color w:val="333333"/>
                <w:sz w:val="18"/>
                <w:szCs w:val="18"/>
              </w:rPr>
              <w:t xml:space="preserve">No significant cybersecurity, regulatory, or geopolitical risks identified based on public information review.</w:t>
            </w:r>
          </w:p>
          <w:p>
            <w:pPr>
              <w:pStyle w:val="ListParagraph"/>
              <w:numPr>
                <w:ilvl w:val="0"/>
                <w:numId w:val="2"/>
              </w:numPr>
              <w:spacing w:before="30" w:after="30" w:line="280"/>
            </w:pPr>
            <w:r>
              <w:rPr>
                <w:rFonts w:ascii="Arial" w:cs="Arial" w:eastAsia="Arial" w:hAnsi="Arial"/>
                <w:color w:val="333333"/>
                <w:sz w:val="18"/>
                <w:szCs w:val="18"/>
              </w:rPr>
              <w:t xml:space="preserve">Smart product G-WEB cloud connectivity should be disclosed to clients and consent confirmed — MEDIUM data handling note.</w:t>
            </w:r>
          </w:p>
          <w:p>
            <w:pPr>
              <w:pStyle w:val="ListParagraph"/>
              <w:numPr>
                <w:ilvl w:val="0"/>
                <w:numId w:val="2"/>
              </w:numPr>
              <w:spacing w:before="30" w:after="30" w:line="280"/>
            </w:pPr>
            <w:r>
              <w:rPr>
                <w:rFonts w:ascii="Arial" w:cs="Arial" w:eastAsia="Arial" w:hAnsi="Arial"/>
                <w:color w:val="333333"/>
                <w:sz w:val="18"/>
                <w:szCs w:val="18"/>
              </w:rPr>
              <w:t xml:space="preserve">Confirm authorised partner status with Centurion Systems West Africa Lagos office.</w:t>
            </w:r>
          </w:p>
          <w:p>
            <w:pPr>
              <w:spacing w:before="40" w:after="40" w:line="280"/>
            </w:pPr>
            <w:r>
              <w:t xml:space="preserve"/>
            </w:r>
          </w:p>
          <w:p>
            <w:pPr>
              <w:spacing w:before="0" w:after="60" w:line="280"/>
            </w:pPr>
            <w:r>
              <w:rPr>
                <w:rFonts w:ascii="Arial" w:cs="Arial" w:eastAsia="Arial" w:hAnsi="Arial"/>
                <w:b/>
                <w:bCs/>
                <w:color w:val="1F4E79"/>
                <w:sz w:val="20"/>
                <w:szCs w:val="20"/>
              </w:rPr>
              <w:t xml:space="preserve">Recommended Actions:</w:t>
            </w:r>
          </w:p>
          <w:p>
            <w:pPr>
              <w:pStyle w:val="ListParagraph"/>
              <w:numPr>
                <w:ilvl w:val="0"/>
                <w:numId w:val="2"/>
              </w:numPr>
              <w:spacing w:before="30" w:after="30" w:line="280"/>
            </w:pPr>
            <w:r>
              <w:rPr>
                <w:rFonts w:ascii="Arial" w:cs="Arial" w:eastAsia="Arial" w:hAnsi="Arial"/>
                <w:color w:val="333333"/>
                <w:sz w:val="18"/>
                <w:szCs w:val="18"/>
              </w:rPr>
              <w:t xml:space="preserve">Confirm authorised distributor status with Centurion Systems West Africa — Lagos office (+234 812 213 5567).</w:t>
            </w:r>
          </w:p>
          <w:p>
            <w:pPr>
              <w:pStyle w:val="ListParagraph"/>
              <w:numPr>
                <w:ilvl w:val="0"/>
                <w:numId w:val="2"/>
              </w:numPr>
              <w:spacing w:before="30" w:after="30" w:line="280"/>
            </w:pPr>
            <w:r>
              <w:rPr>
                <w:rFonts w:ascii="Arial" w:cs="Arial" w:eastAsia="Arial" w:hAnsi="Arial"/>
                <w:color w:val="333333"/>
                <w:sz w:val="18"/>
                <w:szCs w:val="18"/>
              </w:rPr>
              <w:t xml:space="preserve">Inform clients of G-WEB cloud data collection and confirm consent before enabling smart product features.</w:t>
            </w:r>
          </w:p>
          <w:p>
            <w:pPr>
              <w:pStyle w:val="ListParagraph"/>
              <w:numPr>
                <w:ilvl w:val="0"/>
                <w:numId w:val="2"/>
              </w:numPr>
              <w:spacing w:before="30" w:after="30" w:line="280"/>
            </w:pPr>
            <w:r>
              <w:rPr>
                <w:rFonts w:ascii="Arial" w:cs="Arial" w:eastAsia="Arial" w:hAnsi="Arial"/>
                <w:color w:val="333333"/>
                <w:sz w:val="18"/>
                <w:szCs w:val="18"/>
              </w:rPr>
              <w:t xml:space="preserve">Include Centurion in annual vendor review cycle.</w:t>
            </w:r>
          </w:p>
          <w:p>
            <w:pPr>
              <w:pStyle w:val="ListParagraph"/>
              <w:numPr>
                <w:ilvl w:val="0"/>
                <w:numId w:val="2"/>
              </w:numPr>
              <w:spacing w:before="30" w:after="30" w:line="280"/>
            </w:pPr>
            <w:r>
              <w:rPr>
                <w:rFonts w:ascii="Arial" w:cs="Arial" w:eastAsia="Arial" w:hAnsi="Arial"/>
                <w:color w:val="333333"/>
                <w:sz w:val="18"/>
                <w:szCs w:val="18"/>
              </w:rPr>
              <w:t xml:space="preserve">Schedule next review in 12 months.</w:t>
            </w:r>
          </w:p>
        </w:tc>
      </w:tr>
    </w:tbl>
    <w:p>
      <w:pPr>
        <w:spacing w:before="40" w:after="40" w:line="280"/>
      </w:pPr>
      <w:r>
        <w:t xml:space="preserve"/>
      </w:r>
    </w:p>
    <w:sectPr>
      <w:head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pPr>
    <w:r>
      <w:rPr>
        <w:rFonts w:ascii="Arial" w:cs="Arial" w:eastAsia="Arial" w:hAnsi="Arial"/>
        <w:color w:val="888888"/>
        <w:sz w:val="14"/>
        <w:szCs w:val="14"/>
      </w:rPr>
      <w:t xml:space="preserve">Third-Party Risk Assessment — Fensis Limited  |  NIST CSF 2.0 GV.SC  |  Desk-Based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80"/>
      <w:outlineLvl w:val="0"/>
    </w:pPr>
    <w:rPr>
      <w:rFonts w:ascii="Arial" w:cs="Arial" w:eastAsia="Arial" w:hAnsi="Arial"/>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2026-04-04T06:25:43.055Z</dcterms:created>
  <dcterms:modified xsi:type="dcterms:W3CDTF">2026-04-04T06:25:43.056Z</dcterms:modified>
</cp:coreProperties>
</file>

<file path=docProps/custom.xml><?xml version="1.0" encoding="utf-8"?>
<Properties xmlns="http://schemas.openxmlformats.org/officeDocument/2006/custom-properties" xmlns:vt="http://schemas.openxmlformats.org/officeDocument/2006/docPropsVTypes"/>
</file>