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400"/>
              <w:left w:type="dxa" w:w="300"/>
              <w:bottom w:type="dxa" w:w="400"/>
              <w:right w:type="dxa" w:w="300"/>
            </w:tcMar>
          </w:tcPr>
          <w:p>
            <w:pPr>
              <w:spacing w:after="40" w:before="0"/>
              <w:jc w:val="center"/>
            </w:pPr>
            <w:r>
              <w:rPr>
                <w:rFonts w:ascii="Arial" w:cs="Arial" w:eastAsia="Arial" w:hAnsi="Arial"/>
                <w:b/>
                <w:bCs/>
                <w:caps/>
                <w:color w:val="D6E4F0"/>
                <w:sz w:val="18"/>
                <w:szCs w:val="18"/>
              </w:rPr>
              <w:t xml:space="preserve">GRC ANALYST WORK JOURNAL</w:t>
            </w:r>
          </w:p>
          <w:p>
            <w:pPr>
              <w:spacing w:after="30" w:before="0"/>
              <w:jc w:val="center"/>
            </w:pPr>
            <w:r>
              <w:rPr>
                <w:rFonts w:ascii="Arial" w:cs="Arial" w:eastAsia="Arial" w:hAnsi="Arial"/>
                <w:b/>
                <w:bCs/>
                <w:color w:val="FFFFFF"/>
                <w:sz w:val="40"/>
                <w:szCs w:val="40"/>
              </w:rPr>
              <w:t xml:space="preserve">Cybersecurity Strategy and GRC Improvement Roadmap</w:t>
            </w:r>
          </w:p>
          <w:p>
            <w:pPr>
              <w:spacing w:after="20" w:before="0"/>
              <w:jc w:val="center"/>
            </w:pPr>
            <w:r>
              <w:rPr>
                <w:rFonts w:ascii="Arial" w:cs="Arial" w:eastAsia="Arial" w:hAnsi="Arial"/>
                <w:b/>
                <w:bCs/>
                <w:color w:val="D6E4F0"/>
                <w:sz w:val="26"/>
                <w:szCs w:val="26"/>
              </w:rPr>
              <w:t xml:space="preserve">Fensis Limited  |  Ghana</w:t>
            </w:r>
          </w:p>
          <w:p>
            <w:pPr>
              <w:spacing w:after="20" w:before="40"/>
              <w:jc w:val="center"/>
            </w:pPr>
            <w:r>
              <w:rPr>
                <w:rFonts w:ascii="Arial" w:cs="Arial" w:eastAsia="Arial" w:hAnsi="Arial"/>
                <w:color w:val="90B8D8"/>
                <w:sz w:val="20"/>
                <w:szCs w:val="20"/>
              </w:rPr>
              <w:t xml:space="preserve">Framework: NIST Cybersecurity Framework 2.0  |  December 2025 – March 2026</w:t>
            </w:r>
          </w:p>
          <w:p>
            <w:pPr>
              <w:spacing w:after="20" w:before="0"/>
              <w:jc w:val="center"/>
            </w:pPr>
            <w:r>
              <w:rPr>
                <w:rFonts w:ascii="Arial" w:cs="Arial" w:eastAsia="Arial" w:hAnsi="Arial"/>
                <w:i/>
                <w:iCs/>
                <w:color w:val="B8D4E8"/>
                <w:sz w:val="18"/>
                <w:szCs w:val="18"/>
              </w:rPr>
              <w:t xml:space="preserve">Prepared by Breck Agyekum  |  GRC Consultant</w:t>
            </w:r>
          </w:p>
          <w:p>
            <w:pPr>
              <w:spacing w:after="0" w:before="40"/>
              <w:jc w:val="center"/>
            </w:pPr>
            <w:r>
              <w:rPr>
                <w:rFonts w:ascii="Arial" w:cs="Arial" w:eastAsia="Arial" w:hAnsi="Arial"/>
                <w:i/>
                <w:iCs/>
                <w:color w:val="90B8D8"/>
                <w:sz w:val="17"/>
                <w:szCs w:val="17"/>
              </w:rPr>
              <w:t xml:space="preserve">This journal documents the reasoning, decisions, and learning from each step of the GRC assessment. It serves as evidence of original thinking and practical GRC methodology application.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2"/>
              <w:bottom w:val="none" w:color="FFFFFF" w:sz="0"/>
              <w:right w:val="none" w:color="FFFFFF" w:sz="0"/>
            </w:tcBorders>
            <w:shd w:fill="F8F9FA" w:val="clear"/>
            <w:tcMar>
              <w:top w:type="dxa" w:w="120"/>
              <w:left w:type="dxa" w:w="200"/>
              <w:bottom w:type="dxa" w:w="120"/>
              <w:right w:type="dxa" w:w="200"/>
            </w:tcMar>
          </w:tcPr>
          <w:p>
            <w:pPr>
              <w:spacing w:after="40" w:before="0"/>
            </w:pPr>
            <w:r>
              <w:rPr>
                <w:rFonts w:ascii="Arial" w:cs="Arial" w:eastAsia="Arial" w:hAnsi="Arial"/>
                <w:b/>
                <w:bCs/>
                <w:color w:val="1F4E79"/>
                <w:sz w:val="22"/>
                <w:szCs w:val="22"/>
              </w:rPr>
              <w:t xml:space="preserve">About This Journal</w:t>
            </w:r>
          </w:p>
          <w:p>
            <w:pPr>
              <w:spacing w:after="40" w:before="0"/>
            </w:pPr>
            <w:r>
              <w:rPr>
                <w:rFonts w:ascii="Arial" w:cs="Arial" w:eastAsia="Arial" w:hAnsi="Arial"/>
                <w:color w:val="222222"/>
                <w:sz w:val="19"/>
                <w:szCs w:val="19"/>
              </w:rPr>
              <w:t xml:space="preserve">This work journal documents the step-by-step reasoning behind the Fensis Limited cybersecurity strategy and GRC improvement roadmap. Each entry records what was done, what was discovered, why it matters, what decision was made, and what was learned. The journal is structured to demonstrate original analytical thinking at each stage of the GRC process.</w:t>
            </w:r>
          </w:p>
          <w:p>
            <w:pPr>
              <w:spacing w:after="0" w:before="0"/>
            </w:pPr>
            <w:r>
              <w:rPr>
                <w:rFonts w:ascii="Arial" w:cs="Arial" w:eastAsia="Arial" w:hAnsi="Arial"/>
                <w:color w:val="222222"/>
                <w:sz w:val="19"/>
                <w:szCs w:val="19"/>
              </w:rPr>
              <w:t xml:space="preserve">The assessment covered 10 steps: business context analysis, asset identification, ownership and criticality assessment, threat and vulnerability identification, risk scoring, risk register development, NIST CSF 2.0 gap mapping, control recommendations, roadmap prioritisation, and executive summary writing.</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20"/>
              <w:left w:type="dxa" w:w="200"/>
              <w:bottom w:type="dxa" w:w="120"/>
              <w:right w:type="dxa" w:w="200"/>
            </w:tcMar>
          </w:tcPr>
          <w:p>
            <w:pPr>
              <w:spacing w:after="20" w:before="0"/>
            </w:pPr>
            <w:r>
              <w:rPr>
                <w:rFonts w:ascii="Arial" w:cs="Arial" w:eastAsia="Arial" w:hAnsi="Arial"/>
                <w:b/>
                <w:bCs/>
                <w:color w:val="FFFFFF"/>
                <w:sz w:val="24"/>
                <w:szCs w:val="24"/>
              </w:rPr>
              <w:t xml:space="preserve">Step 1  —  </w:t>
            </w:r>
            <w:r>
              <w:rPr>
                <w:rFonts w:ascii="Arial" w:cs="Arial" w:eastAsia="Arial" w:hAnsi="Arial"/>
                <w:b/>
                <w:bCs/>
                <w:color w:val="FFFFFF"/>
                <w:sz w:val="24"/>
                <w:szCs w:val="24"/>
              </w:rPr>
              <w:t xml:space="preserve">Business Context Analysis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80"/>
            </w:tcMar>
          </w:tcPr>
          <w:p>
            <w:r>
              <w:rPr>
                <w:rFonts w:ascii="Arial" w:cs="Arial" w:eastAsia="Arial" w:hAnsi="Arial"/>
                <w:b/>
                <w:bCs/>
                <w:color w:val="1F4E79"/>
                <w:sz w:val="19"/>
                <w:szCs w:val="19"/>
              </w:rPr>
              <w:t xml:space="preserve">What I did</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pPr>
              <w:spacing w:after="0" w:before="0"/>
            </w:pPr>
            <w:r>
              <w:rPr>
                <w:rFonts w:ascii="Arial" w:cs="Arial" w:eastAsia="Arial" w:hAnsi="Arial"/>
                <w:color w:val="222222"/>
                <w:sz w:val="19"/>
                <w:szCs w:val="19"/>
              </w:rPr>
              <w:t xml:space="preserve">Reviewed the Fensis Limited business profile and answered three questions — what the company does to make money, what it depends on to function, and why cybersecurity matters specifically to its customers.</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80"/>
            </w:tcMar>
          </w:tcPr>
          <w:p>
            <w:r>
              <w:rPr>
                <w:rFonts w:ascii="Arial" w:cs="Arial" w:eastAsia="Arial" w:hAnsi="Arial"/>
                <w:b/>
                <w:bCs/>
                <w:color w:val="1F4E79"/>
                <w:sz w:val="19"/>
                <w:szCs w:val="19"/>
              </w:rPr>
              <w:t xml:space="preserve">What I found</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pPr>
              <w:spacing w:after="0" w:before="0"/>
            </w:pPr>
            <w:r>
              <w:rPr>
                <w:rFonts w:ascii="Arial" w:cs="Arial" w:eastAsia="Arial" w:hAnsi="Arial"/>
                <w:color w:val="222222"/>
                <w:sz w:val="19"/>
                <w:szCs w:val="19"/>
              </w:rPr>
              <w:t xml:space="preserve">Fensis makes money from three streams — product sales, installation services, and after-sales support. It depends on two critical things — vendor supply from Hikvision, Dahua, Nemtek, and Centurion, and trained technicians to deliver field installations. Customers trust Fensis with the complete blueprint of their physical security including camera positions, gate access codes, fence layouts, and security configurations.</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80"/>
            </w:tcMar>
          </w:tcPr>
          <w:p>
            <w:r>
              <w:rPr>
                <w:rFonts w:ascii="Arial" w:cs="Arial" w:eastAsia="Arial" w:hAnsi="Arial"/>
                <w:b/>
                <w:bCs/>
                <w:color w:val="1F4E79"/>
                <w:sz w:val="19"/>
                <w:szCs w:val="19"/>
              </w:rPr>
              <w:t xml:space="preserve">Why it matters</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pPr>
              <w:spacing w:after="0" w:before="0"/>
            </w:pPr>
            <w:r>
              <w:rPr>
                <w:rFonts w:ascii="Arial" w:cs="Arial" w:eastAsia="Arial" w:hAnsi="Arial"/>
                <w:color w:val="222222"/>
                <w:sz w:val="19"/>
                <w:szCs w:val="19"/>
              </w:rPr>
              <w:t xml:space="preserve">If vendor supply fails Fensis cannot deliver products. If technicians mishandle data, customer safety is directly at risk — not just their privacy. Cyber risk at Fensis is a physical safety risk for clients. That is the core insight that makes this project different from a standard IT risk assessment.</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80"/>
            </w:tcMar>
          </w:tcPr>
          <w:p>
            <w:r>
              <w:rPr>
                <w:rFonts w:ascii="Arial" w:cs="Arial" w:eastAsia="Arial" w:hAnsi="Arial"/>
                <w:b/>
                <w:bCs/>
                <w:color w:val="1F4E79"/>
                <w:sz w:val="19"/>
                <w:szCs w:val="19"/>
              </w:rPr>
              <w:t xml:space="preserve">Decision I made</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pPr>
              <w:spacing w:after="0" w:before="0"/>
            </w:pPr>
            <w:r>
              <w:rPr>
                <w:rFonts w:ascii="Arial" w:cs="Arial" w:eastAsia="Arial" w:hAnsi="Arial"/>
                <w:color w:val="222222"/>
                <w:sz w:val="19"/>
                <w:szCs w:val="19"/>
              </w:rPr>
              <w:t xml:space="preserve">I decided to frame all risks in this project in business terms, not technical terms. The question I always asked is — what does this mean for the business and the customer? Technical language without business context is not useful to leadership.</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80"/>
            </w:tcMar>
          </w:tcPr>
          <w:p>
            <w:r>
              <w:rPr>
                <w:rFonts w:ascii="Arial" w:cs="Arial" w:eastAsia="Arial" w:hAnsi="Arial"/>
                <w:b/>
                <w:bCs/>
                <w:color w:val="1F4E79"/>
                <w:sz w:val="19"/>
                <w:szCs w:val="19"/>
              </w:rPr>
              <w:t xml:space="preserve">What I learned</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pPr>
              <w:spacing w:after="0" w:before="0"/>
            </w:pPr>
            <w:r>
              <w:rPr>
                <w:rFonts w:ascii="Arial" w:cs="Arial" w:eastAsia="Arial" w:hAnsi="Arial"/>
                <w:color w:val="222222"/>
                <w:sz w:val="19"/>
                <w:szCs w:val="19"/>
              </w:rPr>
              <w:t xml:space="preserve">A dependency is not the same as a customer. Dependencies are specific things the business cannot function without. Identifying them before identifying risks is what makes a GRC assessment accurate rather than generic. Understanding the business first is not just a warm-up — it is the foundation everything else is built on.</w:t>
            </w:r>
          </w:p>
        </w:tc>
      </w:tr>
    </w:tbl>
    <w:p>
      <w:pPr>
        <w:spacing w:after="0" w:before="8"/>
      </w:pPr>
      <w:r>
        <w:t xml:space="preserve"/>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120"/>
              <w:left w:type="dxa" w:w="200"/>
              <w:bottom w:type="dxa" w:w="120"/>
              <w:right w:type="dxa" w:w="200"/>
            </w:tcMar>
          </w:tcPr>
          <w:p>
            <w:pPr>
              <w:spacing w:after="20" w:before="0"/>
            </w:pPr>
            <w:r>
              <w:rPr>
                <w:rFonts w:ascii="Arial" w:cs="Arial" w:eastAsia="Arial" w:hAnsi="Arial"/>
                <w:b/>
                <w:bCs/>
                <w:color w:val="FFFFFF"/>
                <w:sz w:val="24"/>
                <w:szCs w:val="24"/>
              </w:rPr>
              <w:t xml:space="preserve">Step 2  —  </w:t>
            </w:r>
            <w:r>
              <w:rPr>
                <w:rFonts w:ascii="Arial" w:cs="Arial" w:eastAsia="Arial" w:hAnsi="Arial"/>
                <w:b/>
                <w:bCs/>
                <w:color w:val="FFFFFF"/>
                <w:sz w:val="24"/>
                <w:szCs w:val="24"/>
              </w:rPr>
              <w:t xml:space="preserve">Asset Identification</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80"/>
            </w:tcMar>
          </w:tcPr>
          <w:p>
            <w:r>
              <w:rPr>
                <w:rFonts w:ascii="Arial" w:cs="Arial" w:eastAsia="Arial" w:hAnsi="Arial"/>
                <w:b/>
                <w:bCs/>
                <w:color w:val="1F4E79"/>
                <w:sz w:val="19"/>
                <w:szCs w:val="19"/>
              </w:rPr>
              <w:t xml:space="preserve">What I did</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pPr>
              <w:spacing w:after="0" w:before="0"/>
            </w:pPr>
            <w:r>
              <w:rPr>
                <w:rFonts w:ascii="Arial" w:cs="Arial" w:eastAsia="Arial" w:hAnsi="Arial"/>
                <w:color w:val="222222"/>
                <w:sz w:val="19"/>
                <w:szCs w:val="19"/>
              </w:rPr>
              <w:t xml:space="preserve">Identified all assets at Fensis Limited across six categories — information, people, physical, technology, relationships, and intangible. Started with a list of 20 candidate assets and filtered it down to 10 using the GRC relevance test.</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80"/>
            </w:tcMar>
          </w:tcPr>
          <w:p>
            <w:r>
              <w:rPr>
                <w:rFonts w:ascii="Arial" w:cs="Arial" w:eastAsia="Arial" w:hAnsi="Arial"/>
                <w:b/>
                <w:bCs/>
                <w:color w:val="1F4E79"/>
                <w:sz w:val="19"/>
                <w:szCs w:val="19"/>
              </w:rPr>
              <w:t xml:space="preserve">What I found</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pPr>
              <w:spacing w:after="0" w:before="0"/>
            </w:pPr>
            <w:r>
              <w:rPr>
                <w:rFonts w:ascii="Arial" w:cs="Arial" w:eastAsia="Arial" w:hAnsi="Arial"/>
                <w:color w:val="222222"/>
                <w:sz w:val="19"/>
                <w:szCs w:val="19"/>
              </w:rPr>
              <w:t xml:space="preserve">Fensis has assets across all six categories. The most GRC-relevant are customer records and site information, vendor relationships, company reputation, skilled staff and technical knowledge, digital communication channels, financial records, project documentation, inventory, and commercial data. Assets like office buildings, vehicles, installation tools, and accessories were identified but filtered out because they carry operational risk rather than cybersecurity risk.</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80"/>
            </w:tcMar>
          </w:tcPr>
          <w:p>
            <w:r>
              <w:rPr>
                <w:rFonts w:ascii="Arial" w:cs="Arial" w:eastAsia="Arial" w:hAnsi="Arial"/>
                <w:b/>
                <w:bCs/>
                <w:color w:val="1F4E79"/>
                <w:sz w:val="19"/>
                <w:szCs w:val="19"/>
              </w:rPr>
              <w:t xml:space="preserve">Why it matters</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pPr>
              <w:spacing w:after="0" w:before="0"/>
            </w:pPr>
            <w:r>
              <w:rPr>
                <w:rFonts w:ascii="Arial" w:cs="Arial" w:eastAsia="Arial" w:hAnsi="Arial"/>
                <w:color w:val="222222"/>
                <w:sz w:val="19"/>
                <w:szCs w:val="19"/>
              </w:rPr>
              <w:t xml:space="preserve">Every risk in the risk register must trace back to an asset. If you try to protect 20 assets equally you protect nothing well. Filtering for cybersecurity relevance focuses protection effort on the assets that matter most to the business and where a cyber incident would cause genuine harm.</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80"/>
            </w:tcMar>
          </w:tcPr>
          <w:p>
            <w:r>
              <w:rPr>
                <w:rFonts w:ascii="Arial" w:cs="Arial" w:eastAsia="Arial" w:hAnsi="Arial"/>
                <w:b/>
                <w:bCs/>
                <w:color w:val="1F4E79"/>
                <w:sz w:val="19"/>
                <w:szCs w:val="19"/>
              </w:rPr>
              <w:t xml:space="preserve">Decision I made</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pPr>
              <w:spacing w:after="0" w:before="0"/>
            </w:pPr>
            <w:r>
              <w:rPr>
                <w:rFonts w:ascii="Arial" w:cs="Arial" w:eastAsia="Arial" w:hAnsi="Arial"/>
                <w:color w:val="222222"/>
                <w:sz w:val="19"/>
                <w:szCs w:val="19"/>
              </w:rPr>
              <w:t xml:space="preserve">I filtered from 20 assets to 10 by asking one question for each — could this asset be compromised, stolen, exposed, or disrupted in a cyber incident in a way that harms Fensis or its clients? If the answer was no it was removed from the GRC register.</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80"/>
            </w:tcMar>
          </w:tcPr>
          <w:p>
            <w:r>
              <w:rPr>
                <w:rFonts w:ascii="Arial" w:cs="Arial" w:eastAsia="Arial" w:hAnsi="Arial"/>
                <w:b/>
                <w:bCs/>
                <w:color w:val="1F4E79"/>
                <w:sz w:val="19"/>
                <w:szCs w:val="19"/>
              </w:rPr>
              <w:t xml:space="preserve">What I learned</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pPr>
              <w:spacing w:after="0" w:before="0"/>
            </w:pPr>
            <w:r>
              <w:rPr>
                <w:rFonts w:ascii="Arial" w:cs="Arial" w:eastAsia="Arial" w:hAnsi="Arial"/>
                <w:color w:val="222222"/>
                <w:sz w:val="19"/>
                <w:szCs w:val="19"/>
              </w:rPr>
              <w:t xml:space="preserve">A GRC asset register is not the same as a business asset inventory. The discipline of filtering is as important as the discipline of identifying. More assets in the register does not mean better GRC — it means diluted focus and weaker prioritisation.</w:t>
            </w:r>
          </w:p>
        </w:tc>
      </w:tr>
    </w:tbl>
    <w:p>
      <w:pPr>
        <w:spacing w:after="0" w:before="8"/>
      </w:pPr>
      <w:r>
        <w:t xml:space="preserve"/>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EA8" w:val="clear"/>
            <w:tcMar>
              <w:top w:type="dxa" w:w="120"/>
              <w:left w:type="dxa" w:w="200"/>
              <w:bottom w:type="dxa" w:w="120"/>
              <w:right w:type="dxa" w:w="200"/>
            </w:tcMar>
          </w:tcPr>
          <w:p>
            <w:pPr>
              <w:spacing w:after="20" w:before="0"/>
            </w:pPr>
            <w:r>
              <w:rPr>
                <w:rFonts w:ascii="Arial" w:cs="Arial" w:eastAsia="Arial" w:hAnsi="Arial"/>
                <w:b/>
                <w:bCs/>
                <w:color w:val="FFFFFF"/>
                <w:sz w:val="24"/>
                <w:szCs w:val="24"/>
              </w:rPr>
              <w:t xml:space="preserve">Step 3  —  </w:t>
            </w:r>
            <w:r>
              <w:rPr>
                <w:rFonts w:ascii="Arial" w:cs="Arial" w:eastAsia="Arial" w:hAnsi="Arial"/>
                <w:b/>
                <w:bCs/>
                <w:color w:val="FFFFFF"/>
                <w:sz w:val="24"/>
                <w:szCs w:val="24"/>
              </w:rPr>
              <w:t xml:space="preserve">Asset Ownership and Criticality</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80"/>
            </w:tcMar>
          </w:tcPr>
          <w:p>
            <w:r>
              <w:rPr>
                <w:rFonts w:ascii="Arial" w:cs="Arial" w:eastAsia="Arial" w:hAnsi="Arial"/>
                <w:b/>
                <w:bCs/>
                <w:color w:val="1F4E79"/>
                <w:sz w:val="19"/>
                <w:szCs w:val="19"/>
              </w:rPr>
              <w:t xml:space="preserve">What I did</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pPr>
              <w:spacing w:after="0" w:before="0"/>
            </w:pPr>
            <w:r>
              <w:rPr>
                <w:rFonts w:ascii="Arial" w:cs="Arial" w:eastAsia="Arial" w:hAnsi="Arial"/>
                <w:color w:val="222222"/>
                <w:sz w:val="19"/>
                <w:szCs w:val="19"/>
              </w:rPr>
              <w:t xml:space="preserve">Assigned an owner role and a criticality statement to each of the 10 critical assets, describing what would happen to the business if each asset were compromised, lost, or unavailable.</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80"/>
            </w:tcMar>
          </w:tcPr>
          <w:p>
            <w:r>
              <w:rPr>
                <w:rFonts w:ascii="Arial" w:cs="Arial" w:eastAsia="Arial" w:hAnsi="Arial"/>
                <w:b/>
                <w:bCs/>
                <w:color w:val="1F4E79"/>
                <w:sz w:val="19"/>
                <w:szCs w:val="19"/>
              </w:rPr>
              <w:t xml:space="preserve">What I found</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pPr>
              <w:spacing w:after="0" w:before="0"/>
            </w:pPr>
            <w:r>
              <w:rPr>
                <w:rFonts w:ascii="Arial" w:cs="Arial" w:eastAsia="Arial" w:hAnsi="Arial"/>
                <w:color w:val="222222"/>
                <w:sz w:val="19"/>
                <w:szCs w:val="19"/>
              </w:rPr>
              <w:t xml:space="preserve">Every asset has a clear and specific business consequence if compromised. The most severe consequences are customer physical safety risk from exposed site records, supply chain and service failure from vendor relationship disruption, and reputational damage that could permanently end the business in a high-trust security market. Three assets — customer records, vendor relationships, and reputation — have consequences severe enough to threaten business survival.</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80"/>
            </w:tcMar>
          </w:tcPr>
          <w:p>
            <w:r>
              <w:rPr>
                <w:rFonts w:ascii="Arial" w:cs="Arial" w:eastAsia="Arial" w:hAnsi="Arial"/>
                <w:b/>
                <w:bCs/>
                <w:color w:val="1F4E79"/>
                <w:sz w:val="19"/>
                <w:szCs w:val="19"/>
              </w:rPr>
              <w:t xml:space="preserve">Why it matters</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pPr>
              <w:spacing w:after="0" w:before="0"/>
            </w:pPr>
            <w:r>
              <w:rPr>
                <w:rFonts w:ascii="Arial" w:cs="Arial" w:eastAsia="Arial" w:hAnsi="Arial"/>
                <w:color w:val="222222"/>
                <w:sz w:val="19"/>
                <w:szCs w:val="19"/>
              </w:rPr>
              <w:t xml:space="preserve">Ownership makes accountability visible. Without a named owner every asset is theoretically everyone's responsibility which means in practice it is nobody's responsibility. Criticality ratings tell leadership which assets need the strongest controls and the highest investment of time and resources.</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80"/>
            </w:tcMar>
          </w:tcPr>
          <w:p>
            <w:r>
              <w:rPr>
                <w:rFonts w:ascii="Arial" w:cs="Arial" w:eastAsia="Arial" w:hAnsi="Arial"/>
                <w:b/>
                <w:bCs/>
                <w:color w:val="1F4E79"/>
                <w:sz w:val="19"/>
                <w:szCs w:val="19"/>
              </w:rPr>
              <w:t xml:space="preserve">Decision I made</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pPr>
              <w:spacing w:after="0" w:before="0"/>
            </w:pPr>
            <w:r>
              <w:rPr>
                <w:rFonts w:ascii="Arial" w:cs="Arial" w:eastAsia="Arial" w:hAnsi="Arial"/>
                <w:color w:val="222222"/>
                <w:sz w:val="19"/>
                <w:szCs w:val="19"/>
              </w:rPr>
              <w:t xml:space="preserve">I filtered out operational assets that appeared in my initial list — installation tools, office premises, accessories and components, and leadership knowledge. These are important to operations but they do not have direct cybersecurity exposure. A broken drill is an operations problem. A stolen laptop containing client site layouts is a GRC problem.</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80"/>
            </w:tcMar>
          </w:tcPr>
          <w:p>
            <w:r>
              <w:rPr>
                <w:rFonts w:ascii="Arial" w:cs="Arial" w:eastAsia="Arial" w:hAnsi="Arial"/>
                <w:b/>
                <w:bCs/>
                <w:color w:val="1F4E79"/>
                <w:sz w:val="19"/>
                <w:szCs w:val="19"/>
              </w:rPr>
              <w:t xml:space="preserve">What I learned</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pPr>
              <w:spacing w:after="0" w:before="0"/>
            </w:pPr>
            <w:r>
              <w:rPr>
                <w:rFonts w:ascii="Arial" w:cs="Arial" w:eastAsia="Arial" w:hAnsi="Arial"/>
                <w:color w:val="222222"/>
                <w:sz w:val="19"/>
                <w:szCs w:val="19"/>
              </w:rPr>
              <w:t xml:space="preserve">Criticality in GRC is not about the monetary value of an asset. It is about the business and human consequences if that asset is compromised. A technician's phone worth GHS 2,000 may contain client data worth far more to a bad actor — and the consequences of its exposure extend to the physical safety of real people.</w:t>
            </w:r>
          </w:p>
        </w:tc>
      </w:tr>
    </w:tbl>
    <w:p>
      <w:pPr>
        <w:spacing w:after="0" w:before="8"/>
      </w:pPr>
      <w:r>
        <w:t xml:space="preserve"/>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375623" w:val="clear"/>
            <w:tcMar>
              <w:top w:type="dxa" w:w="120"/>
              <w:left w:type="dxa" w:w="200"/>
              <w:bottom w:type="dxa" w:w="120"/>
              <w:right w:type="dxa" w:w="200"/>
            </w:tcMar>
          </w:tcPr>
          <w:p>
            <w:pPr>
              <w:spacing w:after="20" w:before="0"/>
            </w:pPr>
            <w:r>
              <w:rPr>
                <w:rFonts w:ascii="Arial" w:cs="Arial" w:eastAsia="Arial" w:hAnsi="Arial"/>
                <w:b/>
                <w:bCs/>
                <w:color w:val="FFFFFF"/>
                <w:sz w:val="24"/>
                <w:szCs w:val="24"/>
              </w:rPr>
              <w:t xml:space="preserve">Step 4  —  </w:t>
            </w:r>
            <w:r>
              <w:rPr>
                <w:rFonts w:ascii="Arial" w:cs="Arial" w:eastAsia="Arial" w:hAnsi="Arial"/>
                <w:b/>
                <w:bCs/>
                <w:color w:val="FFFFFF"/>
                <w:sz w:val="24"/>
                <w:szCs w:val="24"/>
              </w:rPr>
              <w:t xml:space="preserve">Threat and Vulnerability Identification</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80"/>
            </w:tcMar>
          </w:tcPr>
          <w:p>
            <w:r>
              <w:rPr>
                <w:rFonts w:ascii="Arial" w:cs="Arial" w:eastAsia="Arial" w:hAnsi="Arial"/>
                <w:b/>
                <w:bCs/>
                <w:color w:val="1F4E79"/>
                <w:sz w:val="19"/>
                <w:szCs w:val="19"/>
              </w:rPr>
              <w:t xml:space="preserve">What I did</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pPr>
              <w:spacing w:after="0" w:before="0"/>
            </w:pPr>
            <w:r>
              <w:rPr>
                <w:rFonts w:ascii="Arial" w:cs="Arial" w:eastAsia="Arial" w:hAnsi="Arial"/>
                <w:color w:val="222222"/>
                <w:sz w:val="19"/>
                <w:szCs w:val="19"/>
              </w:rPr>
              <w:t xml:space="preserve">Identified realistic threat scenarios and specific vulnerabilities for all 10 critical assets at Fensis Limited. Each entry describes a plausible event and the specific weakness that makes it possible.</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80"/>
            </w:tcMar>
          </w:tcPr>
          <w:p>
            <w:r>
              <w:rPr>
                <w:rFonts w:ascii="Arial" w:cs="Arial" w:eastAsia="Arial" w:hAnsi="Arial"/>
                <w:b/>
                <w:bCs/>
                <w:color w:val="1F4E79"/>
                <w:sz w:val="19"/>
                <w:szCs w:val="19"/>
              </w:rPr>
              <w:t xml:space="preserve">What I found</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pPr>
              <w:spacing w:after="0" w:before="0"/>
            </w:pPr>
            <w:r>
              <w:rPr>
                <w:rFonts w:ascii="Arial" w:cs="Arial" w:eastAsia="Arial" w:hAnsi="Arial"/>
                <w:color w:val="222222"/>
                <w:sz w:val="19"/>
                <w:szCs w:val="19"/>
              </w:rPr>
              <w:t xml:space="preserve">Every asset faces at least one realistic threat rooted in how Fensis actually operates. The most significant threats involve customer site data being exposed with physical safety consequences, vendor supply being disrupted by geopolitical restrictions on Hikvision and Dahua, financial records being manipulated by insiders with too much unchecked access, and project records surviving on personal devices and messaging apps after project completion.</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80"/>
            </w:tcMar>
          </w:tcPr>
          <w:p>
            <w:r>
              <w:rPr>
                <w:rFonts w:ascii="Arial" w:cs="Arial" w:eastAsia="Arial" w:hAnsi="Arial"/>
                <w:b/>
                <w:bCs/>
                <w:color w:val="1F4E79"/>
                <w:sz w:val="19"/>
                <w:szCs w:val="19"/>
              </w:rPr>
              <w:t xml:space="preserve">Why it matters</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pPr>
              <w:spacing w:after="0" w:before="0"/>
            </w:pPr>
            <w:r>
              <w:rPr>
                <w:rFonts w:ascii="Arial" w:cs="Arial" w:eastAsia="Arial" w:hAnsi="Arial"/>
                <w:color w:val="222222"/>
                <w:sz w:val="19"/>
                <w:szCs w:val="19"/>
              </w:rPr>
              <w:t xml:space="preserve">Threats and vulnerabilities together form the foundation of the risk register. A threat without a vulnerability is just a theory. A vulnerability without a threat is just a weakness nobody is exploiting yet. Together they tell you what could go wrong and why the business is exposed to it — which is what leadership needs to make informed decisions.</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80"/>
            </w:tcMar>
          </w:tcPr>
          <w:p>
            <w:r>
              <w:rPr>
                <w:rFonts w:ascii="Arial" w:cs="Arial" w:eastAsia="Arial" w:hAnsi="Arial"/>
                <w:b/>
                <w:bCs/>
                <w:color w:val="1F4E79"/>
                <w:sz w:val="19"/>
                <w:szCs w:val="19"/>
              </w:rPr>
              <w:t xml:space="preserve">Decision I made</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pPr>
              <w:spacing w:after="0" w:before="0"/>
            </w:pPr>
            <w:r>
              <w:rPr>
                <w:rFonts w:ascii="Arial" w:cs="Arial" w:eastAsia="Arial" w:hAnsi="Arial"/>
                <w:color w:val="222222"/>
                <w:sz w:val="19"/>
                <w:szCs w:val="19"/>
              </w:rPr>
              <w:t xml:space="preserve">I wrote every threat as a realistic business event specific to how Fensis operates — not a generic cybersecurity scenario. WhatsApp as a file storage location, counterfeit products entering the supply chain, and printed contracts sitting in accessible offices are all specific to this business context and would not appear in a generic GRC template.</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80"/>
            </w:tcMar>
          </w:tcPr>
          <w:p>
            <w:r>
              <w:rPr>
                <w:rFonts w:ascii="Arial" w:cs="Arial" w:eastAsia="Arial" w:hAnsi="Arial"/>
                <w:b/>
                <w:bCs/>
                <w:color w:val="1F4E79"/>
                <w:sz w:val="19"/>
                <w:szCs w:val="19"/>
              </w:rPr>
              <w:t xml:space="preserve">What I learned</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pPr>
              <w:spacing w:after="0" w:before="0"/>
            </w:pPr>
            <w:r>
              <w:rPr>
                <w:rFonts w:ascii="Arial" w:cs="Arial" w:eastAsia="Arial" w:hAnsi="Arial"/>
                <w:color w:val="222222"/>
                <w:sz w:val="19"/>
                <w:szCs w:val="19"/>
              </w:rPr>
              <w:t xml:space="preserve">Insider risk is as important as external attack risk. Financial manipulation by an internal staff member with unchecked access is just as damaging as a hacker breaking into the system. Physical documents carry the same risk as digital files — a printed contract left on a desk is as exposed as an unprotected email attachment.</w:t>
            </w:r>
          </w:p>
        </w:tc>
      </w:tr>
    </w:tbl>
    <w:p>
      <w:pPr>
        <w:spacing w:after="0" w:before="8"/>
      </w:pPr>
      <w:r>
        <w:t xml:space="preserve"/>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20"/>
              <w:left w:type="dxa" w:w="200"/>
              <w:bottom w:type="dxa" w:w="120"/>
              <w:right w:type="dxa" w:w="200"/>
            </w:tcMar>
          </w:tcPr>
          <w:p>
            <w:pPr>
              <w:spacing w:after="20" w:before="0"/>
            </w:pPr>
            <w:r>
              <w:rPr>
                <w:rFonts w:ascii="Arial" w:cs="Arial" w:eastAsia="Arial" w:hAnsi="Arial"/>
                <w:b/>
                <w:bCs/>
                <w:color w:val="FFFFFF"/>
                <w:sz w:val="24"/>
                <w:szCs w:val="24"/>
              </w:rPr>
              <w:t xml:space="preserve">Step 5  —  </w:t>
            </w:r>
            <w:r>
              <w:rPr>
                <w:rFonts w:ascii="Arial" w:cs="Arial" w:eastAsia="Arial" w:hAnsi="Arial"/>
                <w:b/>
                <w:bCs/>
                <w:color w:val="FFFFFF"/>
                <w:sz w:val="24"/>
                <w:szCs w:val="24"/>
              </w:rPr>
              <w:t xml:space="preserve">Risk Scoring</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80"/>
            </w:tcMar>
          </w:tcPr>
          <w:p>
            <w:r>
              <w:rPr>
                <w:rFonts w:ascii="Arial" w:cs="Arial" w:eastAsia="Arial" w:hAnsi="Arial"/>
                <w:b/>
                <w:bCs/>
                <w:color w:val="1F4E79"/>
                <w:sz w:val="19"/>
                <w:szCs w:val="19"/>
              </w:rPr>
              <w:t xml:space="preserve">What I did</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pPr>
              <w:spacing w:after="0" w:before="0"/>
            </w:pPr>
            <w:r>
              <w:rPr>
                <w:rFonts w:ascii="Arial" w:cs="Arial" w:eastAsia="Arial" w:hAnsi="Arial"/>
                <w:color w:val="222222"/>
                <w:sz w:val="19"/>
                <w:szCs w:val="19"/>
              </w:rPr>
              <w:t xml:space="preserve">Scored all 10 identified risks using a 5x5 likelihood-impact matrix aligned to NIST CSF 2.0. For each risk I proposed scores, stress-tested my reasoning against a consistent definition of Major versus Critical, and wrote a justification sentence connecting the specific Fensis vulnerabilities to the likelihood and impact scores.</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80"/>
            </w:tcMar>
          </w:tcPr>
          <w:p>
            <w:r>
              <w:rPr>
                <w:rFonts w:ascii="Arial" w:cs="Arial" w:eastAsia="Arial" w:hAnsi="Arial"/>
                <w:b/>
                <w:bCs/>
                <w:color w:val="1F4E79"/>
                <w:sz w:val="19"/>
                <w:szCs w:val="19"/>
              </w:rPr>
              <w:t xml:space="preserve">What I found</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pPr>
              <w:spacing w:after="0" w:before="0"/>
            </w:pPr>
            <w:r>
              <w:rPr>
                <w:rFonts w:ascii="Arial" w:cs="Arial" w:eastAsia="Arial" w:hAnsi="Arial"/>
                <w:color w:val="222222"/>
                <w:sz w:val="19"/>
                <w:szCs w:val="19"/>
              </w:rPr>
              <w:t xml:space="preserve">No risks scored LOW. Three risks scored CRITICAL — customer records exposure scoring 20, vendor supply disruption scoring 25, and financial record manipulation scoring 20. Six risks scored HIGH with scores of 16. One risk scored MEDIUM at 12. The concentration of HIGH and CRITICAL scores reflects the reality of a growing business operating with informal controls, no formal policies, and heavy dependence on individual knowledge and trusted staff.</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80"/>
            </w:tcMar>
          </w:tcPr>
          <w:p>
            <w:r>
              <w:rPr>
                <w:rFonts w:ascii="Arial" w:cs="Arial" w:eastAsia="Arial" w:hAnsi="Arial"/>
                <w:b/>
                <w:bCs/>
                <w:color w:val="1F4E79"/>
                <w:sz w:val="19"/>
                <w:szCs w:val="19"/>
              </w:rPr>
              <w:t xml:space="preserve">Why it matters</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pPr>
              <w:spacing w:after="0" w:before="0"/>
            </w:pPr>
            <w:r>
              <w:rPr>
                <w:rFonts w:ascii="Arial" w:cs="Arial" w:eastAsia="Arial" w:hAnsi="Arial"/>
                <w:color w:val="222222"/>
                <w:sz w:val="19"/>
                <w:szCs w:val="19"/>
              </w:rPr>
              <w:t xml:space="preserve">Risk scores convert the threat and vulnerability findings into a prioritised action list. Without scores everything feels equally urgent. With scores leadership can see clearly where to focus first, second, and third.</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80"/>
            </w:tcMar>
          </w:tcPr>
          <w:p>
            <w:r>
              <w:rPr>
                <w:rFonts w:ascii="Arial" w:cs="Arial" w:eastAsia="Arial" w:hAnsi="Arial"/>
                <w:b/>
                <w:bCs/>
                <w:color w:val="1F4E79"/>
                <w:sz w:val="19"/>
                <w:szCs w:val="19"/>
              </w:rPr>
              <w:t xml:space="preserve">Decision I made</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pPr>
              <w:spacing w:after="0" w:before="0"/>
            </w:pPr>
            <w:r>
              <w:rPr>
                <w:rFonts w:ascii="Arial" w:cs="Arial" w:eastAsia="Arial" w:hAnsi="Arial"/>
                <w:color w:val="222222"/>
                <w:sz w:val="19"/>
                <w:szCs w:val="19"/>
              </w:rPr>
              <w:t xml:space="preserve">I applied a consistent definition throughout — Major impact is serious but recoverable damage, Critical impact threatens business survival or causes harm beyond the organisation. That discipline kept the register credible and prevented score inflation. I challenged my own initial scores multiple times, adjusting when I could not defend a score with specific evidence from the Fensis business context.</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80"/>
            </w:tcMar>
          </w:tcPr>
          <w:p>
            <w:r>
              <w:rPr>
                <w:rFonts w:ascii="Arial" w:cs="Arial" w:eastAsia="Arial" w:hAnsi="Arial"/>
                <w:b/>
                <w:bCs/>
                <w:color w:val="1F4E79"/>
                <w:sz w:val="19"/>
                <w:szCs w:val="19"/>
              </w:rPr>
              <w:t xml:space="preserve">What I learned</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pPr>
              <w:spacing w:after="0" w:before="0"/>
            </w:pPr>
            <w:r>
              <w:rPr>
                <w:rFonts w:ascii="Arial" w:cs="Arial" w:eastAsia="Arial" w:hAnsi="Arial"/>
                <w:color w:val="222222"/>
                <w:sz w:val="19"/>
                <w:szCs w:val="19"/>
              </w:rPr>
              <w:t xml:space="preserve">Risk scoring is not just about choosing numbers. It is about defending those numbers with specific evidence. A score without a justification is just a guess. Likelihood and Impact are two separate questions — the conditions that make something likely are different from the consequences that make it severe.</w:t>
            </w:r>
          </w:p>
        </w:tc>
      </w:tr>
    </w:tbl>
    <w:p>
      <w:pPr>
        <w:spacing w:after="0" w:before="8"/>
      </w:pPr>
      <w:r>
        <w:t xml:space="preserve"/>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120"/>
              <w:left w:type="dxa" w:w="200"/>
              <w:bottom w:type="dxa" w:w="120"/>
              <w:right w:type="dxa" w:w="200"/>
            </w:tcMar>
          </w:tcPr>
          <w:p>
            <w:pPr>
              <w:spacing w:after="20" w:before="0"/>
            </w:pPr>
            <w:r>
              <w:rPr>
                <w:rFonts w:ascii="Arial" w:cs="Arial" w:eastAsia="Arial" w:hAnsi="Arial"/>
                <w:b/>
                <w:bCs/>
                <w:color w:val="FFFFFF"/>
                <w:sz w:val="24"/>
                <w:szCs w:val="24"/>
              </w:rPr>
              <w:t xml:space="preserve">Step 6  —  </w:t>
            </w:r>
            <w:r>
              <w:rPr>
                <w:rFonts w:ascii="Arial" w:cs="Arial" w:eastAsia="Arial" w:hAnsi="Arial"/>
                <w:b/>
                <w:bCs/>
                <w:color w:val="FFFFFF"/>
                <w:sz w:val="24"/>
                <w:szCs w:val="24"/>
              </w:rPr>
              <w:t xml:space="preserve">Risk Register Development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80"/>
            </w:tcMar>
          </w:tcPr>
          <w:p>
            <w:r>
              <w:rPr>
                <w:rFonts w:ascii="Arial" w:cs="Arial" w:eastAsia="Arial" w:hAnsi="Arial"/>
                <w:b/>
                <w:bCs/>
                <w:color w:val="1F4E79"/>
                <w:sz w:val="19"/>
                <w:szCs w:val="19"/>
              </w:rPr>
              <w:t xml:space="preserve">What I did</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pPr>
              <w:spacing w:after="0" w:before="0"/>
            </w:pPr>
            <w:r>
              <w:rPr>
                <w:rFonts w:ascii="Arial" w:cs="Arial" w:eastAsia="Arial" w:hAnsi="Arial"/>
                <w:color w:val="222222"/>
                <w:sz w:val="19"/>
                <w:szCs w:val="19"/>
              </w:rPr>
              <w:t xml:space="preserve">Combined all findings from Steps 1 to 5 into a formal risk register with 14 columns covering asset, scenario, threat, vulnerability, scores, rating, ownership, current controls, control gaps, recommended actions, and priority phases.</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80"/>
            </w:tcMar>
          </w:tcPr>
          <w:p>
            <w:r>
              <w:rPr>
                <w:rFonts w:ascii="Arial" w:cs="Arial" w:eastAsia="Arial" w:hAnsi="Arial"/>
                <w:b/>
                <w:bCs/>
                <w:color w:val="1F4E79"/>
                <w:sz w:val="19"/>
                <w:szCs w:val="19"/>
              </w:rPr>
              <w:t xml:space="preserve">What I found</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pPr>
              <w:spacing w:after="0" w:before="0"/>
            </w:pPr>
            <w:r>
              <w:rPr>
                <w:rFonts w:ascii="Arial" w:cs="Arial" w:eastAsia="Arial" w:hAnsi="Arial"/>
                <w:color w:val="222222"/>
                <w:sz w:val="19"/>
                <w:szCs w:val="19"/>
              </w:rPr>
              <w:t xml:space="preserve">Fensis has no formal cybersecurity control mechanism for any of the 10 identified risks. All risks are either uncontrolled or managed informally through staff discretion and ad hoc IT referral. Every recommended action in the register is foundational — Fensis is not improving existing controls, it is building them from scratch.</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80"/>
            </w:tcMar>
          </w:tcPr>
          <w:p>
            <w:r>
              <w:rPr>
                <w:rFonts w:ascii="Arial" w:cs="Arial" w:eastAsia="Arial" w:hAnsi="Arial"/>
                <w:b/>
                <w:bCs/>
                <w:color w:val="1F4E79"/>
                <w:sz w:val="19"/>
                <w:szCs w:val="19"/>
              </w:rPr>
              <w:t xml:space="preserve">Why it matters</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pPr>
              <w:spacing w:after="0" w:before="0"/>
            </w:pPr>
            <w:r>
              <w:rPr>
                <w:rFonts w:ascii="Arial" w:cs="Arial" w:eastAsia="Arial" w:hAnsi="Arial"/>
                <w:color w:val="222222"/>
                <w:sz w:val="19"/>
                <w:szCs w:val="19"/>
              </w:rPr>
              <w:t xml:space="preserve">The risk register is the central document of the entire GRC engagement. It gives leadership a single view of every risk — what it is, why it exists, how serious it is, who owns it, what exists today, what is missing, and what to do about it. Without this document risk management is just conversation.</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80"/>
            </w:tcMar>
          </w:tcPr>
          <w:p>
            <w:r>
              <w:rPr>
                <w:rFonts w:ascii="Arial" w:cs="Arial" w:eastAsia="Arial" w:hAnsi="Arial"/>
                <w:b/>
                <w:bCs/>
                <w:color w:val="1F4E79"/>
                <w:sz w:val="19"/>
                <w:szCs w:val="19"/>
              </w:rPr>
              <w:t xml:space="preserve">Decision I made</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pPr>
              <w:spacing w:after="0" w:before="0"/>
            </w:pPr>
            <w:r>
              <w:rPr>
                <w:rFonts w:ascii="Arial" w:cs="Arial" w:eastAsia="Arial" w:hAnsi="Arial"/>
                <w:color w:val="222222"/>
                <w:sz w:val="19"/>
                <w:szCs w:val="19"/>
              </w:rPr>
              <w:t xml:space="preserve">I added owner names and timelines to every recommended action. A recommendation without an owner and a deadline is just a suggestion. With both it becomes an instruction that leadership can track and hold people accountable to.</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80"/>
            </w:tcMar>
          </w:tcPr>
          <w:p>
            <w:r>
              <w:rPr>
                <w:rFonts w:ascii="Arial" w:cs="Arial" w:eastAsia="Arial" w:hAnsi="Arial"/>
                <w:b/>
                <w:bCs/>
                <w:color w:val="1F4E79"/>
                <w:sz w:val="19"/>
                <w:szCs w:val="19"/>
              </w:rPr>
              <w:t xml:space="preserve">What I learned</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pPr>
              <w:spacing w:after="0" w:before="0"/>
            </w:pPr>
            <w:r>
              <w:rPr>
                <w:rFonts w:ascii="Arial" w:cs="Arial" w:eastAsia="Arial" w:hAnsi="Arial"/>
                <w:color w:val="222222"/>
                <w:sz w:val="19"/>
                <w:szCs w:val="19"/>
              </w:rPr>
              <w:t xml:space="preserve">Current controls are just as important as control gaps. Acknowledging what Fensis already does — even informally — is honest GRC practice. It shows the assessor understands the business as it actually operates, not as it should theoretically operate.</w:t>
            </w:r>
          </w:p>
        </w:tc>
      </w:tr>
    </w:tbl>
    <w:p>
      <w:pPr>
        <w:spacing w:after="0" w:before="8"/>
      </w:pPr>
      <w:r>
        <w:t xml:space="preserve"/>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EA8" w:val="clear"/>
            <w:tcMar>
              <w:top w:type="dxa" w:w="120"/>
              <w:left w:type="dxa" w:w="200"/>
              <w:bottom w:type="dxa" w:w="120"/>
              <w:right w:type="dxa" w:w="200"/>
            </w:tcMar>
          </w:tcPr>
          <w:p>
            <w:pPr>
              <w:spacing w:after="20" w:before="0"/>
            </w:pPr>
            <w:r>
              <w:rPr>
                <w:rFonts w:ascii="Arial" w:cs="Arial" w:eastAsia="Arial" w:hAnsi="Arial"/>
                <w:b/>
                <w:bCs/>
                <w:color w:val="FFFFFF"/>
                <w:sz w:val="24"/>
                <w:szCs w:val="24"/>
              </w:rPr>
              <w:t xml:space="preserve">Step 7  —  </w:t>
            </w:r>
            <w:r>
              <w:rPr>
                <w:rFonts w:ascii="Arial" w:cs="Arial" w:eastAsia="Arial" w:hAnsi="Arial"/>
                <w:b/>
                <w:bCs/>
                <w:color w:val="FFFFFF"/>
                <w:sz w:val="24"/>
                <w:szCs w:val="24"/>
              </w:rPr>
              <w:t xml:space="preserve">NIST CSF 2.0 Gap Mapping</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80"/>
            </w:tcMar>
          </w:tcPr>
          <w:p>
            <w:r>
              <w:rPr>
                <w:rFonts w:ascii="Arial" w:cs="Arial" w:eastAsia="Arial" w:hAnsi="Arial"/>
                <w:b/>
                <w:bCs/>
                <w:color w:val="1F4E79"/>
                <w:sz w:val="19"/>
                <w:szCs w:val="19"/>
              </w:rPr>
              <w:t xml:space="preserve">What I did</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pPr>
              <w:spacing w:after="0" w:before="0"/>
            </w:pPr>
            <w:r>
              <w:rPr>
                <w:rFonts w:ascii="Arial" w:cs="Arial" w:eastAsia="Arial" w:hAnsi="Arial"/>
                <w:color w:val="222222"/>
                <w:sz w:val="19"/>
                <w:szCs w:val="19"/>
              </w:rPr>
              <w:t xml:space="preserve">Assessed Fensis Limited against all six NIST CSF 2.0 functions — Govern, Identify, Protect, Detect, Respond, and Recover — identifying the current state and specific gaps in each function.</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80"/>
            </w:tcMar>
          </w:tcPr>
          <w:p>
            <w:r>
              <w:rPr>
                <w:rFonts w:ascii="Arial" w:cs="Arial" w:eastAsia="Arial" w:hAnsi="Arial"/>
                <w:b/>
                <w:bCs/>
                <w:color w:val="1F4E79"/>
                <w:sz w:val="19"/>
                <w:szCs w:val="19"/>
              </w:rPr>
              <w:t xml:space="preserve">What I found</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pPr>
              <w:spacing w:after="0" w:before="0"/>
            </w:pPr>
            <w:r>
              <w:rPr>
                <w:rFonts w:ascii="Arial" w:cs="Arial" w:eastAsia="Arial" w:hAnsi="Arial"/>
                <w:color w:val="222222"/>
                <w:sz w:val="19"/>
                <w:szCs w:val="19"/>
              </w:rPr>
              <w:t xml:space="preserve">Five of six functions are rated CRITICAL gap level. Only Identify is rated HIGH because operational awareness of assets exists even without formal documentation. The most significant finding is that Fensis has no governance structure — no named cybersecurity owner, no risk strategy, no policy framework, and no leadership-level oversight. Without governance, all other functions remain informal and unaccountable regardless of what controls are added.</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80"/>
            </w:tcMar>
          </w:tcPr>
          <w:p>
            <w:r>
              <w:rPr>
                <w:rFonts w:ascii="Arial" w:cs="Arial" w:eastAsia="Arial" w:hAnsi="Arial"/>
                <w:b/>
                <w:bCs/>
                <w:color w:val="1F4E79"/>
                <w:sz w:val="19"/>
                <w:szCs w:val="19"/>
              </w:rPr>
              <w:t xml:space="preserve">Why it matters</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pPr>
              <w:spacing w:after="0" w:before="0"/>
            </w:pPr>
            <w:r>
              <w:rPr>
                <w:rFonts w:ascii="Arial" w:cs="Arial" w:eastAsia="Arial" w:hAnsi="Arial"/>
                <w:color w:val="222222"/>
                <w:sz w:val="19"/>
                <w:szCs w:val="19"/>
              </w:rPr>
              <w:t xml:space="preserve">Gap mapping explains why the 10 risks in the register exist. Each risk traces back to a specific function gap. Understanding the root cause allows the roadmap to fix functions rather than just individual risks — which is more efficient and more durable.</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80"/>
            </w:tcMar>
          </w:tcPr>
          <w:p>
            <w:r>
              <w:rPr>
                <w:rFonts w:ascii="Arial" w:cs="Arial" w:eastAsia="Arial" w:hAnsi="Arial"/>
                <w:b/>
                <w:bCs/>
                <w:color w:val="1F4E79"/>
                <w:sz w:val="19"/>
                <w:szCs w:val="19"/>
              </w:rPr>
              <w:t xml:space="preserve">Decision I made</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pPr>
              <w:spacing w:after="0" w:before="0"/>
            </w:pPr>
            <w:r>
              <w:rPr>
                <w:rFonts w:ascii="Arial" w:cs="Arial" w:eastAsia="Arial" w:hAnsi="Arial"/>
                <w:color w:val="222222"/>
                <w:sz w:val="19"/>
                <w:szCs w:val="19"/>
              </w:rPr>
              <w:t xml:space="preserve">I rated the Govern gap as Critical even though some informal awareness exists. The test for Critical is whether cybersecurity is owned, monitored, and managed at leadership level. At Fensis it is not. That absence makes everything else uncontrollable.</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80"/>
            </w:tcMar>
          </w:tcPr>
          <w:p>
            <w:r>
              <w:rPr>
                <w:rFonts w:ascii="Arial" w:cs="Arial" w:eastAsia="Arial" w:hAnsi="Arial"/>
                <w:b/>
                <w:bCs/>
                <w:color w:val="1F4E79"/>
                <w:sz w:val="19"/>
                <w:szCs w:val="19"/>
              </w:rPr>
              <w:t xml:space="preserve">What I learned</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pPr>
              <w:spacing w:after="0" w:before="0"/>
            </w:pPr>
            <w:r>
              <w:rPr>
                <w:rFonts w:ascii="Arial" w:cs="Arial" w:eastAsia="Arial" w:hAnsi="Arial"/>
                <w:color w:val="222222"/>
                <w:sz w:val="19"/>
                <w:szCs w:val="19"/>
              </w:rPr>
              <w:t xml:space="preserve">Governance is not a bureaucratic exercise. It is the foundation that makes every other function work. You can implement MFA, train staff, and create backups — but without a named owner and a risk strategy those controls will not be maintained, updated, or enforced consistently. Govern comes first because without it nothing else sticks.</w:t>
            </w:r>
          </w:p>
        </w:tc>
      </w:tr>
    </w:tbl>
    <w:p>
      <w:pPr>
        <w:spacing w:after="0" w:before="8"/>
      </w:pPr>
      <w:r>
        <w:t xml:space="preserve"/>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375623" w:val="clear"/>
            <w:tcMar>
              <w:top w:type="dxa" w:w="120"/>
              <w:left w:type="dxa" w:w="200"/>
              <w:bottom w:type="dxa" w:w="120"/>
              <w:right w:type="dxa" w:w="200"/>
            </w:tcMar>
          </w:tcPr>
          <w:p>
            <w:pPr>
              <w:spacing w:after="20" w:before="0"/>
            </w:pPr>
            <w:r>
              <w:rPr>
                <w:rFonts w:ascii="Arial" w:cs="Arial" w:eastAsia="Arial" w:hAnsi="Arial"/>
                <w:b/>
                <w:bCs/>
                <w:color w:val="FFFFFF"/>
                <w:sz w:val="24"/>
                <w:szCs w:val="24"/>
              </w:rPr>
              <w:t xml:space="preserve">Step 8  —  </w:t>
            </w:r>
            <w:r>
              <w:rPr>
                <w:rFonts w:ascii="Arial" w:cs="Arial" w:eastAsia="Arial" w:hAnsi="Arial"/>
                <w:b/>
                <w:bCs/>
                <w:color w:val="FFFFFF"/>
                <w:sz w:val="24"/>
                <w:szCs w:val="24"/>
              </w:rPr>
              <w:t xml:space="preserve">Control Recommendations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80"/>
            </w:tcMar>
          </w:tcPr>
          <w:p>
            <w:r>
              <w:rPr>
                <w:rFonts w:ascii="Arial" w:cs="Arial" w:eastAsia="Arial" w:hAnsi="Arial"/>
                <w:b/>
                <w:bCs/>
                <w:color w:val="1F4E79"/>
                <w:sz w:val="19"/>
                <w:szCs w:val="19"/>
              </w:rPr>
              <w:t xml:space="preserve">What I did</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pPr>
              <w:spacing w:after="0" w:before="0"/>
            </w:pPr>
            <w:r>
              <w:rPr>
                <w:rFonts w:ascii="Arial" w:cs="Arial" w:eastAsia="Arial" w:hAnsi="Arial"/>
                <w:color w:val="222222"/>
                <w:sz w:val="19"/>
                <w:szCs w:val="19"/>
              </w:rPr>
              <w:t xml:space="preserve">Developed 16 specific control recommendations across all six NIST CSF 2.0 functions — Govern, Identify, Protect, Detect, Respond, and Recover — to address the gaps identified in Step 7.</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80"/>
            </w:tcMar>
          </w:tcPr>
          <w:p>
            <w:r>
              <w:rPr>
                <w:rFonts w:ascii="Arial" w:cs="Arial" w:eastAsia="Arial" w:hAnsi="Arial"/>
                <w:b/>
                <w:bCs/>
                <w:color w:val="1F4E79"/>
                <w:sz w:val="19"/>
                <w:szCs w:val="19"/>
              </w:rPr>
              <w:t xml:space="preserve">What I found</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pPr>
              <w:spacing w:after="0" w:before="0"/>
            </w:pPr>
            <w:r>
              <w:rPr>
                <w:rFonts w:ascii="Arial" w:cs="Arial" w:eastAsia="Arial" w:hAnsi="Arial"/>
                <w:color w:val="222222"/>
                <w:sz w:val="19"/>
                <w:szCs w:val="19"/>
              </w:rPr>
              <w:t xml:space="preserve">The most impactful controls are in the Protect function because they address multiple risks simultaneously. Enabling MFA alone reduces R-06 email compromise risk significantly. A device policy addresses R-01, R-04, and R-08 simultaneously. Role-based access control addresses R-01, R-07, and R-10. One control closing multiple risks is the most efficient use of a small business's limited time and resources.</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80"/>
            </w:tcMar>
          </w:tcPr>
          <w:p>
            <w:r>
              <w:rPr>
                <w:rFonts w:ascii="Arial" w:cs="Arial" w:eastAsia="Arial" w:hAnsi="Arial"/>
                <w:b/>
                <w:bCs/>
                <w:color w:val="1F4E79"/>
                <w:sz w:val="19"/>
                <w:szCs w:val="19"/>
              </w:rPr>
              <w:t xml:space="preserve">Why it matters</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pPr>
              <w:spacing w:after="0" w:before="0"/>
            </w:pPr>
            <w:r>
              <w:rPr>
                <w:rFonts w:ascii="Arial" w:cs="Arial" w:eastAsia="Arial" w:hAnsi="Arial"/>
                <w:color w:val="222222"/>
                <w:sz w:val="19"/>
                <w:szCs w:val="19"/>
              </w:rPr>
              <w:t xml:space="preserve">A risk register without control recommendations is just a worry list. Controls are what convert identified risks into a managed programme. Every control recommendation in this project is traceable back to a specific gap in a specific NIST CSF 2.0 function which is traceable back to a specific risk in the register which is traceable back to a specific asset.</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80"/>
            </w:tcMar>
          </w:tcPr>
          <w:p>
            <w:r>
              <w:rPr>
                <w:rFonts w:ascii="Arial" w:cs="Arial" w:eastAsia="Arial" w:hAnsi="Arial"/>
                <w:b/>
                <w:bCs/>
                <w:color w:val="1F4E79"/>
                <w:sz w:val="19"/>
                <w:szCs w:val="19"/>
              </w:rPr>
              <w:t xml:space="preserve">Decision I made</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pPr>
              <w:spacing w:after="0" w:before="0"/>
            </w:pPr>
            <w:r>
              <w:rPr>
                <w:rFonts w:ascii="Arial" w:cs="Arial" w:eastAsia="Arial" w:hAnsi="Arial"/>
                <w:color w:val="222222"/>
                <w:sz w:val="19"/>
                <w:szCs w:val="19"/>
              </w:rPr>
              <w:t xml:space="preserve">I kept every recommendation proportionate to Fensis's size. A small security systems company in Ghana does not need enterprise-grade solutions. It needs simple, affordable, immediately actionable controls that staff will actually use. A 50-page incident response plan nobody reads is worse than a one-page guide everyone follows.</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80"/>
            </w:tcMar>
          </w:tcPr>
          <w:p>
            <w:r>
              <w:rPr>
                <w:rFonts w:ascii="Arial" w:cs="Arial" w:eastAsia="Arial" w:hAnsi="Arial"/>
                <w:b/>
                <w:bCs/>
                <w:color w:val="1F4E79"/>
                <w:sz w:val="19"/>
                <w:szCs w:val="19"/>
              </w:rPr>
              <w:t xml:space="preserve">What I learned</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pPr>
              <w:spacing w:after="0" w:before="0"/>
            </w:pPr>
            <w:r>
              <w:rPr>
                <w:rFonts w:ascii="Arial" w:cs="Arial" w:eastAsia="Arial" w:hAnsi="Arial"/>
                <w:color w:val="222222"/>
                <w:sz w:val="19"/>
                <w:szCs w:val="19"/>
              </w:rPr>
              <w:t xml:space="preserve">The best control recommendation solves multiple problems at once. MFA is free, takes one hour to implement, and immediately reduces the likelihood of R-06 from 4 to 2. That single action has more impact than writing five policies nobody enforces. Speed and practicality matter as much as completeness in GRC work for small businesses.</w:t>
            </w:r>
          </w:p>
        </w:tc>
      </w:tr>
    </w:tbl>
    <w:p>
      <w:pPr>
        <w:spacing w:after="0" w:before="8"/>
      </w:pPr>
      <w:r>
        <w:t xml:space="preserve"/>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20"/>
              <w:left w:type="dxa" w:w="200"/>
              <w:bottom w:type="dxa" w:w="120"/>
              <w:right w:type="dxa" w:w="200"/>
            </w:tcMar>
          </w:tcPr>
          <w:p>
            <w:pPr>
              <w:spacing w:after="20" w:before="0"/>
            </w:pPr>
            <w:r>
              <w:rPr>
                <w:rFonts w:ascii="Arial" w:cs="Arial" w:eastAsia="Arial" w:hAnsi="Arial"/>
                <w:b/>
                <w:bCs/>
                <w:color w:val="FFFFFF"/>
                <w:sz w:val="24"/>
                <w:szCs w:val="24"/>
              </w:rPr>
              <w:t xml:space="preserve">Step 9  —  </w:t>
            </w:r>
            <w:r>
              <w:rPr>
                <w:rFonts w:ascii="Arial" w:cs="Arial" w:eastAsia="Arial" w:hAnsi="Arial"/>
                <w:b/>
                <w:bCs/>
                <w:color w:val="FFFFFF"/>
                <w:sz w:val="24"/>
                <w:szCs w:val="24"/>
              </w:rPr>
              <w:t xml:space="preserve">Roadmap Prioritisation</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80"/>
            </w:tcMar>
          </w:tcPr>
          <w:p>
            <w:r>
              <w:rPr>
                <w:rFonts w:ascii="Arial" w:cs="Arial" w:eastAsia="Arial" w:hAnsi="Arial"/>
                <w:b/>
                <w:bCs/>
                <w:color w:val="1F4E79"/>
                <w:sz w:val="19"/>
                <w:szCs w:val="19"/>
              </w:rPr>
              <w:t xml:space="preserve">What I did</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pPr>
              <w:spacing w:after="0" w:before="0"/>
            </w:pPr>
            <w:r>
              <w:rPr>
                <w:rFonts w:ascii="Arial" w:cs="Arial" w:eastAsia="Arial" w:hAnsi="Arial"/>
                <w:color w:val="222222"/>
                <w:sz w:val="19"/>
                <w:szCs w:val="19"/>
              </w:rPr>
              <w:t xml:space="preserve">I converted the 16 cybersecurity control recommendations into a phased 180-day implementation roadmap for Fensis Limited. The task involved deciding which controls should be done first, which ones should wait, and which controls depend on others before they can work properly. I grouped the controls into three phases: 0–30 days to stop the most urgent risks, 30–90 days to build the foundation, and 90–180 days to strengthen and sustain the cybersecurity programme.</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80"/>
            </w:tcMar>
          </w:tcPr>
          <w:p>
            <w:r>
              <w:rPr>
                <w:rFonts w:ascii="Arial" w:cs="Arial" w:eastAsia="Arial" w:hAnsi="Arial"/>
                <w:b/>
                <w:bCs/>
                <w:color w:val="1F4E79"/>
                <w:sz w:val="19"/>
                <w:szCs w:val="19"/>
              </w:rPr>
              <w:t xml:space="preserve">What I found</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pPr>
              <w:spacing w:after="0" w:before="0"/>
            </w:pPr>
            <w:r>
              <w:rPr>
                <w:rFonts w:ascii="Arial" w:cs="Arial" w:eastAsia="Arial" w:hAnsi="Arial"/>
                <w:color w:val="222222"/>
                <w:sz w:val="19"/>
                <w:szCs w:val="19"/>
              </w:rPr>
              <w:t xml:space="preserve">The prioritisation showed that not all controls carry the same urgency or business value. Some controls, such as assigning a Cybersecurity Risk Owner, enabling multi-factor authentication, creating an incident reporting guide, and protecting critical files through cloud backup, needed to come first because they address immediate and serious risks. I also found that some controls, like staff awareness training, monthly dashboards, and business continuity planning, are important but work better after ownership, policies, asset visibility, and basic response processes are already in place.</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80"/>
            </w:tcMar>
          </w:tcPr>
          <w:p>
            <w:r>
              <w:rPr>
                <w:rFonts w:ascii="Arial" w:cs="Arial" w:eastAsia="Arial" w:hAnsi="Arial"/>
                <w:b/>
                <w:bCs/>
                <w:color w:val="1F4E79"/>
                <w:sz w:val="19"/>
                <w:szCs w:val="19"/>
              </w:rPr>
              <w:t xml:space="preserve">Why it matters</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pPr>
              <w:spacing w:after="0" w:before="0"/>
            </w:pPr>
            <w:r>
              <w:rPr>
                <w:rFonts w:ascii="Arial" w:cs="Arial" w:eastAsia="Arial" w:hAnsi="Arial"/>
                <w:color w:val="222222"/>
                <w:sz w:val="19"/>
                <w:szCs w:val="19"/>
              </w:rPr>
              <w:t xml:space="preserve">A phased roadmap matters more than a flat list because leadership needs to know what to fix first, not just what is wrong. A flat list can overwhelm a small business because it makes every control look equally urgent. A roadmap gives Fensis a realistic order of action, helping the company focus first on controls that reduce the greatest risk quickly, then build longer-term discipline over time.</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80"/>
            </w:tcMar>
          </w:tcPr>
          <w:p>
            <w:r>
              <w:rPr>
                <w:rFonts w:ascii="Arial" w:cs="Arial" w:eastAsia="Arial" w:hAnsi="Arial"/>
                <w:b/>
                <w:bCs/>
                <w:color w:val="1F4E79"/>
                <w:sz w:val="19"/>
                <w:szCs w:val="19"/>
              </w:rPr>
              <w:t xml:space="preserve">Decision I made</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pPr>
              <w:spacing w:after="0" w:before="0"/>
            </w:pPr>
            <w:r>
              <w:rPr>
                <w:rFonts w:ascii="Arial" w:cs="Arial" w:eastAsia="Arial" w:hAnsi="Arial"/>
                <w:color w:val="222222"/>
                <w:sz w:val="19"/>
                <w:szCs w:val="19"/>
              </w:rPr>
              <w:t xml:space="preserve">One important decision I made was to place GV-01 — Assign a named Cybersecurity Risk Owner — in Phase 1 before most other controls. I made this decision because governance must come first. Without a named person responsible for cybersecurity, controls such as policy development, risk reporting, incident response, vendor review, and staff training would not be properly implemented or maintained.</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80"/>
            </w:tcMar>
          </w:tcPr>
          <w:p>
            <w:r>
              <w:rPr>
                <w:rFonts w:ascii="Arial" w:cs="Arial" w:eastAsia="Arial" w:hAnsi="Arial"/>
                <w:b/>
                <w:bCs/>
                <w:color w:val="1F4E79"/>
                <w:sz w:val="19"/>
                <w:szCs w:val="19"/>
              </w:rPr>
              <w:t xml:space="preserve">What I learned</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pPr>
              <w:spacing w:after="0" w:before="0"/>
            </w:pPr>
            <w:r>
              <w:rPr>
                <w:rFonts w:ascii="Arial" w:cs="Arial" w:eastAsia="Arial" w:hAnsi="Arial"/>
                <w:color w:val="222222"/>
                <w:sz w:val="19"/>
                <w:szCs w:val="19"/>
              </w:rPr>
              <w:t xml:space="preserve">I learned that GRC work is not only about identifying risks and recommending controls. It is also about sequencing actions in a way that a real business can actually follow. A good GRC recommendation must consider risk severity, cost, speed, ownership, and dependencies, because even the best control is useless if the organisation does not know who should implement it or when it should happen.</w:t>
            </w:r>
          </w:p>
        </w:tc>
      </w:tr>
    </w:tbl>
    <w:p>
      <w:pPr>
        <w:spacing w:after="0" w:before="8"/>
      </w:pPr>
      <w:r>
        <w:t xml:space="preserve"/>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120"/>
              <w:left w:type="dxa" w:w="200"/>
              <w:bottom w:type="dxa" w:w="120"/>
              <w:right w:type="dxa" w:w="200"/>
            </w:tcMar>
          </w:tcPr>
          <w:p>
            <w:pPr>
              <w:spacing w:after="20" w:before="0"/>
            </w:pPr>
            <w:r>
              <w:rPr>
                <w:rFonts w:ascii="Arial" w:cs="Arial" w:eastAsia="Arial" w:hAnsi="Arial"/>
                <w:b/>
                <w:bCs/>
                <w:color w:val="FFFFFF"/>
                <w:sz w:val="24"/>
                <w:szCs w:val="24"/>
              </w:rPr>
              <w:t xml:space="preserve">Step 10  —  </w:t>
            </w:r>
            <w:r>
              <w:rPr>
                <w:rFonts w:ascii="Arial" w:cs="Arial" w:eastAsia="Arial" w:hAnsi="Arial"/>
                <w:b/>
                <w:bCs/>
                <w:color w:val="FFFFFF"/>
                <w:sz w:val="24"/>
                <w:szCs w:val="24"/>
              </w:rPr>
              <w:t xml:space="preserve">Executive Summary</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80"/>
            </w:tcMar>
          </w:tcPr>
          <w:p>
            <w:r>
              <w:rPr>
                <w:rFonts w:ascii="Arial" w:cs="Arial" w:eastAsia="Arial" w:hAnsi="Arial"/>
                <w:b/>
                <w:bCs/>
                <w:color w:val="1F4E79"/>
                <w:sz w:val="19"/>
                <w:szCs w:val="19"/>
              </w:rPr>
              <w:t xml:space="preserve">What I did</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pPr>
              <w:spacing w:after="0" w:before="0"/>
            </w:pPr>
            <w:r>
              <w:rPr>
                <w:rFonts w:ascii="Arial" w:cs="Arial" w:eastAsia="Arial" w:hAnsi="Arial"/>
                <w:color w:val="222222"/>
                <w:sz w:val="19"/>
                <w:szCs w:val="19"/>
              </w:rPr>
              <w:t xml:space="preserve">I wrote an executive summary for the cybersecurity strategy and risk assessment conducted for Fensis Limited. The task involved turning the full assessment into a short, clear leadership document that explained why the assessment was done, what was found, how serious the risks were, what actions were recommended, and what could happen if nothing changed. Instead of writing for a technical cybersecurity audience, I had to write for a Managing Director who needs quick, practical, business-focused information.</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80"/>
            </w:tcMar>
          </w:tcPr>
          <w:p>
            <w:r>
              <w:rPr>
                <w:rFonts w:ascii="Arial" w:cs="Arial" w:eastAsia="Arial" w:hAnsi="Arial"/>
                <w:b/>
                <w:bCs/>
                <w:color w:val="1F4E79"/>
                <w:sz w:val="19"/>
                <w:szCs w:val="19"/>
              </w:rPr>
              <w:t xml:space="preserve">What I found</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pPr>
              <w:spacing w:after="0" w:before="0"/>
            </w:pPr>
            <w:r>
              <w:rPr>
                <w:rFonts w:ascii="Arial" w:cs="Arial" w:eastAsia="Arial" w:hAnsi="Arial"/>
                <w:color w:val="222222"/>
                <w:sz w:val="19"/>
                <w:szCs w:val="19"/>
              </w:rPr>
              <w:t xml:space="preserve">The most important message to communicate was that Fensis has serious cybersecurity exposure including three critical risks, but the situation can be improved through 16 practical controls over 180 days. I found that GRC findings must be presented in plain language, with numbers, business impact, and clear priorities, not buried under framework terminology. Leadership does not need every technical detail first — they need to understand what could disrupt the business, what needs approval, and what must happen next.</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80"/>
            </w:tcMar>
          </w:tcPr>
          <w:p>
            <w:r>
              <w:rPr>
                <w:rFonts w:ascii="Arial" w:cs="Arial" w:eastAsia="Arial" w:hAnsi="Arial"/>
                <w:b/>
                <w:bCs/>
                <w:color w:val="1F4E79"/>
                <w:sz w:val="19"/>
                <w:szCs w:val="19"/>
              </w:rPr>
              <w:t xml:space="preserve">Why it matters</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pPr>
              <w:spacing w:after="0" w:before="0"/>
            </w:pPr>
            <w:r>
              <w:rPr>
                <w:rFonts w:ascii="Arial" w:cs="Arial" w:eastAsia="Arial" w:hAnsi="Arial"/>
                <w:color w:val="222222"/>
                <w:sz w:val="19"/>
                <w:szCs w:val="19"/>
              </w:rPr>
              <w:t xml:space="preserve">An executive summary matters because it is often the only part of the report that senior leaders read fully. If leadership cannot understand the findings, they may delay action, underestimate the risk, or fail to approve the resources and responsibilities needed to fix the gaps. In GRC work, unclear communication can become a risk by itself — because a brilliant report that nobody understands is essentially a very expensive paperweight.</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80"/>
            </w:tcMar>
          </w:tcPr>
          <w:p>
            <w:r>
              <w:rPr>
                <w:rFonts w:ascii="Arial" w:cs="Arial" w:eastAsia="Arial" w:hAnsi="Arial"/>
                <w:b/>
                <w:bCs/>
                <w:color w:val="1F4E79"/>
                <w:sz w:val="19"/>
                <w:szCs w:val="19"/>
              </w:rPr>
              <w:t xml:space="preserve">Decision I made</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pPr>
              <w:spacing w:after="0" w:before="0"/>
            </w:pPr>
            <w:r>
              <w:rPr>
                <w:rFonts w:ascii="Arial" w:cs="Arial" w:eastAsia="Arial" w:hAnsi="Arial"/>
                <w:color w:val="222222"/>
                <w:sz w:val="19"/>
                <w:szCs w:val="19"/>
              </w:rPr>
              <w:t xml:space="preserve">One important decision I made was to lead with the seriousness of the situation instead of slowly building up to it. I structured the summary around the key leadership questions: why the assessment was done, what was found, how serious the risks were, what should be done, and what happens if Fensis does nothing. This made the summary easier to follow and helped keep the focus on business decisions rather than technical explanation.</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80"/>
            </w:tcMar>
          </w:tcPr>
          <w:p>
            <w:r>
              <w:rPr>
                <w:rFonts w:ascii="Arial" w:cs="Arial" w:eastAsia="Arial" w:hAnsi="Arial"/>
                <w:b/>
                <w:bCs/>
                <w:color w:val="1F4E79"/>
                <w:sz w:val="19"/>
                <w:szCs w:val="19"/>
              </w:rPr>
              <w:t xml:space="preserve">What I learned</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pPr>
              <w:spacing w:after="0" w:before="0"/>
            </w:pPr>
            <w:r>
              <w:rPr>
                <w:rFonts w:ascii="Arial" w:cs="Arial" w:eastAsia="Arial" w:hAnsi="Arial"/>
                <w:color w:val="222222"/>
                <w:sz w:val="19"/>
                <w:szCs w:val="19"/>
              </w:rPr>
              <w:t xml:space="preserve">I learned that communicating risk to leadership is not about showing how much cybersecurity knowledge I have. It is about helping decision-makers understand exposure, urgency, consequences, and next steps in language they can act on. A strong GRC professional must translate technical risk into business risk, because leadership does not approve controls just because they sound important — they approve them when they understand what the controls protect and what failure could cost.</w:t>
            </w:r>
          </w:p>
        </w:tc>
      </w:tr>
    </w:tbl>
    <w:p>
      <w:pPr>
        <w:spacing w:after="0" w:before="8"/>
      </w:pPr>
      <w:r>
        <w:t xml:space="preserve"/>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200"/>
              <w:left w:type="dxa" w:w="240"/>
              <w:bottom w:type="dxa" w:w="200"/>
              <w:right w:type="dxa" w:w="240"/>
            </w:tcMar>
          </w:tcPr>
          <w:p>
            <w:pPr>
              <w:spacing w:after="40" w:before="0"/>
              <w:jc w:val="center"/>
            </w:pPr>
            <w:r>
              <w:rPr>
                <w:rFonts w:ascii="Arial" w:cs="Arial" w:eastAsia="Arial" w:hAnsi="Arial"/>
                <w:b/>
                <w:bCs/>
                <w:color w:val="FFFFFF"/>
                <w:sz w:val="26"/>
                <w:szCs w:val="26"/>
              </w:rPr>
              <w:t xml:space="preserve">Closing Reflection</w:t>
            </w:r>
          </w:p>
          <w:p>
            <w:pPr>
              <w:spacing w:after="40" w:before="0"/>
            </w:pPr>
            <w:r>
              <w:rPr>
                <w:rFonts w:ascii="Arial" w:cs="Arial" w:eastAsia="Arial" w:hAnsi="Arial"/>
                <w:color w:val="D6E4F0"/>
                <w:sz w:val="19"/>
                <w:szCs w:val="19"/>
              </w:rPr>
              <w:t xml:space="preserve">This project taught me that GRC is fundamentally a business discipline, not a technical one. The most important skill is not knowing the frameworks — it is knowing how to apply them to a specific business, in a specific context, with specific constraints, and communicate the findings in a way that leadership can actually act on.</w:t>
            </w:r>
          </w:p>
          <w:p>
            <w:pPr>
              <w:spacing w:after="40" w:before="0"/>
            </w:pPr>
            <w:r>
              <w:rPr>
                <w:rFonts w:ascii="Arial" w:cs="Arial" w:eastAsia="Arial" w:hAnsi="Arial"/>
                <w:color w:val="D6E4F0"/>
                <w:sz w:val="19"/>
                <w:szCs w:val="19"/>
              </w:rPr>
              <w:t xml:space="preserve">The Fensis project demonstrated this at every stage. The physical safety insight — that a stolen technician device exposes client security blueprints, not just personal data — only emerged from understanding the business before touching any framework. The geopolitical risk finding for Hikvision and Dahua only became visible through researching the vendor landscape rather than assuming all suppliers are equal. The WhatsApp file storage vulnerability only appeared because the assessment was grounded in how the business actually operates, not how it theoretically should.</w:t>
            </w:r>
          </w:p>
          <w:p>
            <w:pPr>
              <w:spacing w:after="0" w:before="0"/>
            </w:pPr>
            <w:r>
              <w:rPr>
                <w:rFonts w:ascii="Arial" w:cs="Arial" w:eastAsia="Arial" w:hAnsi="Arial"/>
                <w:color w:val="D6E4F0"/>
                <w:sz w:val="19"/>
                <w:szCs w:val="19"/>
              </w:rPr>
              <w:t xml:space="preserve">I built this assessment to demonstrate practical GRC competency. Every risk, every finding, every recommendation in this project can be explained, defended, and connected back to a business consequence. That is the standard I held myself to throughout — and it is the standard I intend to bring to every GRC engagement that follows.</w:t>
            </w:r>
          </w:p>
        </w:tc>
      </w:tr>
    </w:tbl>
    <w:p>
      <w:pPr>
        <w:spacing w:after="0" w:before="80"/>
      </w:pPr>
      <w:r>
        <w:t xml:space="preserve"/>
      </w:r>
    </w:p>
    <w:p>
      <w:pPr>
        <w:pBdr>
          <w:top w:val="single" w:color="CCCCCC" w:sz="4" w:space="1"/>
        </w:pBdr>
        <w:spacing w:after="0" w:before="80"/>
        <w:jc w:val="center"/>
      </w:pPr>
      <w:r>
        <w:rPr>
          <w:rFonts w:ascii="Arial" w:cs="Arial" w:eastAsia="Arial" w:hAnsi="Arial"/>
          <w:i/>
          <w:iCs/>
          <w:color w:val="888888"/>
          <w:sz w:val="14"/>
          <w:szCs w:val="14"/>
        </w:rPr>
        <w:t xml:space="preserve">Breck Agyekum  |  GRC Consultant  |  kwakubreck@gmail.com  |  linkedin.com/in/breck-agyekum  |  Ottawa, Canada</w:t>
      </w:r>
    </w:p>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80"/>
    </w:pPr>
    <w:r>
      <w:rPr>
        <w:rFonts w:ascii="Arial" w:cs="Arial" w:eastAsia="Arial" w:hAnsi="Arial"/>
        <w:color w:val="888888"/>
        <w:sz w:val="14"/>
        <w:szCs w:val="14"/>
      </w:rPr>
      <w:t xml:space="preserve">GRC Analyst Work Journal  |  Fensis Limited  |  NIST CSF 2.0  |  Breck Agyekum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2026-04-26T04:35:42.460Z</dcterms:created>
  <dcterms:modified xsi:type="dcterms:W3CDTF">2026-04-26T04:35:42.461Z</dcterms:modified>
</cp:coreProperties>
</file>

<file path=docProps/custom.xml><?xml version="1.0" encoding="utf-8"?>
<Properties xmlns="http://schemas.openxmlformats.org/officeDocument/2006/custom-properties" xmlns:vt="http://schemas.openxmlformats.org/officeDocument/2006/docPropsVTypes"/>
</file>