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Modèle conventionnel de donnée utilisé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7734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Vue de liste des événements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539491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1162" r="0" t="80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39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Vue de liste des événements par types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50139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753" r="0" t="103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01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Vue descriptive d’un événement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3400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Vue de création d’un événement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40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Vue de modification d’un événement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49053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Vue de suppression d’un événement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Nous avons pu utiliser les bundle doctrine et doctrine:fixtures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Doctrine permet la génération de modèle conceptuel de données, comme leur récupération à partir d’une base de données, il permet aussi la synchronisation et l'interaction (Requêtage) avec un système de base de données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Doctrine:fixtures est une extension de Doctrine qui permet de constituer un jeu d’essai à implémenter dans une base de données pour effectuer les tests nécessaires.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Composer require stof/doctrine-extensions-bundle refuse de s’installer même en utilisant -W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 en régénérant les dossiers var et vendor.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Stof devait nous permettre d’obtenir Gedmo et sa gestion de slug visant à  optimiser des URLs pour le moteur de recherche fluidifier/réduire le temps de traitement des ces dernières. Pour cela on remplaçait dans nos URLs nos clés  principales des entitées pertinentes pour un tel traitement et on rajoutais dans l’entité/class (au niveau du mapping de doctrine) un champ privé slug.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