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bwhlkbd408eq" w:id="0"/>
      <w:bookmarkEnd w:id="0"/>
      <w:r w:rsidDel="00000000" w:rsidR="00000000" w:rsidRPr="00000000">
        <w:rPr>
          <w:rtl w:val="0"/>
        </w:rPr>
        <w:t xml:space="preserve">Raport Metodyczny: Strategia i Zakres Materiału do Egzaminu Ósmoklasisty z Języka Polskiego (Maj 2027)</w:t>
      </w:r>
    </w:p>
    <w:p w:rsidR="00000000" w:rsidDel="00000000" w:rsidP="00000000" w:rsidRDefault="00000000" w:rsidRPr="00000000" w14:paraId="00000002">
      <w:pPr>
        <w:pStyle w:val="Heading4"/>
        <w:rPr/>
      </w:pPr>
      <w:bookmarkStart w:colFirst="0" w:colLast="0" w:name="_lu8bob8lzcp2" w:id="1"/>
      <w:bookmarkEnd w:id="1"/>
      <w:r w:rsidDel="00000000" w:rsidR="00000000" w:rsidRPr="00000000">
        <w:rPr>
          <w:rtl w:val="0"/>
        </w:rPr>
        <w:t xml:space="preserve">1. Kontekst Systemowy i Założenia Reformy 2025–2027</w:t>
      </w:r>
    </w:p>
    <w:p w:rsidR="00000000" w:rsidDel="00000000" w:rsidP="00000000" w:rsidRDefault="00000000" w:rsidRPr="00000000" w14:paraId="00000003">
      <w:pPr>
        <w:rPr/>
      </w:pPr>
      <w:r w:rsidDel="00000000" w:rsidR="00000000" w:rsidRPr="00000000">
        <w:rPr>
          <w:rtl w:val="0"/>
        </w:rPr>
        <w:t xml:space="preserve">Egzamin ósmoklasisty w maju 2027 roku stanowi pełną operacjonalizację reformy uszczuplającej podstawę programową o 20%. Z perspektywy dydaktycznej, redukcja ta nie jest jedynie uproszczeniem, lecz fundamentalną zmianą paradygmatu: mniejsza objętość materiału (80% dotychczasowego zakresu) wymusza przejście od encyklopedyzmu ku zwiększonej głębi analitycznej. Projektant repetytorium musi założyć, że „odzyskaną” przestrzeń programową należy wypełnić zaawansowanymi ćwiczeniami z zakresu struktur złożonych i myślenia krytycznego. W przeciwieństwie do lat 2021–2024, gdzie obowiązywały wymagania egzaminacyjne czasu pandemii, arkusz 2027 opiera się na stabilnej, acz „odchudzonej” podstawie programowej, co kończy okres przejściowy i przywraca pełny reżim weryfikacji kompetencji merytorycznych.Wymóg przystąpienia do egzaminu pozostaje bezwzględnym warunkiem ukończenia szkoły podstawowej. Skala wyzwania jest masowa – bazując na danych z 2026 roku, do egzaminu przystępuje około 386 750 uczniów, co przy średnim wyniku oscylującym wokół 65% wskazuje na konieczność zrewidowania dotychczasowych metod powtórkowych. Kluczem do sukcesu w 2027 roku jest nie tylko znajomość treści, ale perfekcyjne opanowanie architektury arkusza i logiki systemowej CKE.</w:t>
      </w:r>
    </w:p>
    <w:p w:rsidR="00000000" w:rsidDel="00000000" w:rsidP="00000000" w:rsidRDefault="00000000" w:rsidRPr="00000000" w14:paraId="00000004">
      <w:pPr>
        <w:pStyle w:val="Heading4"/>
        <w:rPr/>
      </w:pPr>
      <w:bookmarkStart w:colFirst="0" w:colLast="0" w:name="_btmrr6rik61f" w:id="2"/>
      <w:bookmarkEnd w:id="2"/>
      <w:r w:rsidDel="00000000" w:rsidR="00000000" w:rsidRPr="00000000">
        <w:rPr>
          <w:rtl w:val="0"/>
        </w:rPr>
        <w:t xml:space="preserve">2. Architektura Arkusza Egzaminacyjnego i System Punktacji</w:t>
      </w:r>
    </w:p>
    <w:p w:rsidR="00000000" w:rsidDel="00000000" w:rsidP="00000000" w:rsidRDefault="00000000" w:rsidRPr="00000000" w14:paraId="00000005">
      <w:pPr>
        <w:rPr/>
      </w:pPr>
      <w:r w:rsidDel="00000000" w:rsidR="00000000" w:rsidRPr="00000000">
        <w:rPr>
          <w:rtl w:val="0"/>
        </w:rPr>
        <w:t xml:space="preserve">Struktura arkusza wymusza na zdającym sprawną żonglerkę kompetencjami w limicie 150 minut. Efektywne zarządzanie czasem wymaga priorytetyzacji zadań otwartych, które w nowym modelu stanowią ok. 50% punktacji części testowej oraz całość części II.</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Struktura Części I (Test):</w:t>
      </w:r>
      <w:r w:rsidDel="00000000" w:rsidR="00000000" w:rsidRPr="00000000">
        <w:rPr>
          <w:rtl w:val="0"/>
        </w:rPr>
        <w:t xml:space="preserve">  Obejmuje ok. 20 zadań o łącznej wadze 25 punktów.</w:t>
      </w:r>
    </w:p>
    <w:p w:rsidR="00000000" w:rsidDel="00000000" w:rsidP="00000000" w:rsidRDefault="00000000" w:rsidRPr="00000000" w14:paraId="00000007">
      <w:pPr>
        <w:numPr>
          <w:ilvl w:val="0"/>
          <w:numId w:val="1"/>
        </w:numPr>
        <w:ind w:left="720" w:hanging="360"/>
        <w:rPr>
          <w:u w:val="none"/>
        </w:rPr>
      </w:pPr>
      <w:r w:rsidDel="00000000" w:rsidR="00000000" w:rsidRPr="00000000">
        <w:rPr>
          <w:b w:val="1"/>
          <w:bCs w:val="1"/>
          <w:rtl w:val="0"/>
        </w:rPr>
        <w:t xml:space="preserve">Zadania zintegrowane:</w:t>
      </w:r>
      <w:r w:rsidDel="00000000" w:rsidR="00000000" w:rsidRPr="00000000">
        <w:rPr>
          <w:rtl w:val="0"/>
        </w:rPr>
        <w:t xml:space="preserve">  Oparte na tekście literackim (poezja, epika lub dramat) oraz nieliterackim (naukowy, popularnonaukowy lub publicystyczny). Łączna objętość tekstów nie przekracza 1000 słów.</w:t>
      </w:r>
    </w:p>
    <w:p w:rsidR="00000000" w:rsidDel="00000000" w:rsidP="00000000" w:rsidRDefault="00000000" w:rsidRPr="00000000" w14:paraId="00000008">
      <w:pPr>
        <w:numPr>
          <w:ilvl w:val="0"/>
          <w:numId w:val="1"/>
        </w:numPr>
        <w:ind w:left="720" w:hanging="360"/>
        <w:rPr>
          <w:u w:val="none"/>
        </w:rPr>
      </w:pPr>
      <w:r w:rsidDel="00000000" w:rsidR="00000000" w:rsidRPr="00000000">
        <w:rPr>
          <w:b w:val="1"/>
          <w:bCs w:val="1"/>
          <w:rtl w:val="0"/>
        </w:rPr>
        <w:t xml:space="preserve">Teksty ikoniczne:</w:t>
      </w:r>
      <w:r w:rsidDel="00000000" w:rsidR="00000000" w:rsidRPr="00000000">
        <w:rPr>
          <w:rtl w:val="0"/>
        </w:rPr>
        <w:t xml:space="preserve">  Obowiązkowa analiza i interpretacja plakatów oraz reprodukcji obrazów.</w:t>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Zadania samodzielne:</w:t>
      </w:r>
      <w:r w:rsidDel="00000000" w:rsidR="00000000" w:rsidRPr="00000000">
        <w:rPr>
          <w:rtl w:val="0"/>
        </w:rPr>
        <w:t xml:space="preserve">  Weryfikacja wiedzy o systemie językowym, frazeologii i ortografii.</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Struktura Części II (Wypracowanie):</w:t>
      </w:r>
      <w:r w:rsidDel="00000000" w:rsidR="00000000" w:rsidRPr="00000000">
        <w:rPr>
          <w:rtl w:val="0"/>
        </w:rPr>
        <w:t xml:space="preserve">  Wybór między tematem argumentacyjnym (rozprawka, przemówienie) a twórczym (opowiadanie). Obowiązuje rygor minimum 200 słów oraz funkcjonalne wykorzystanie lektury obowiązkowej.</w:t>
      </w:r>
      <w:r w:rsidDel="00000000" w:rsidR="00000000" w:rsidRPr="00000000">
        <w:rPr>
          <w:b w:val="1"/>
          <w:bCs w:val="1"/>
          <w:rtl w:val="0"/>
        </w:rPr>
        <w:t xml:space="preserve">Matryca wagi egzaminu w systemie rekrutacyjnym</w:t>
      </w:r>
      <w:r w:rsidDel="00000000" w:rsidR="00000000" w:rsidRPr="00000000">
        <w:rPr>
          <w:rtl w:val="0"/>
        </w:rPr>
        <w:t xml:space="preserve">| Komponent Egzaminu | Max. punktów surowych | Przelicznik rekrutacyjny | % wagi ogólnej (egzamin) || ------ | ------ | ------ | ------ || </w:t>
      </w:r>
      <w:r w:rsidDel="00000000" w:rsidR="00000000" w:rsidRPr="00000000">
        <w:rPr>
          <w:b w:val="1"/>
          <w:bCs w:val="1"/>
          <w:rtl w:val="0"/>
        </w:rPr>
        <w:t xml:space="preserve">Język polski</w:t>
      </w:r>
      <w:r w:rsidDel="00000000" w:rsidR="00000000" w:rsidRPr="00000000">
        <w:rPr>
          <w:rtl w:val="0"/>
        </w:rPr>
        <w:t xml:space="preserve"> | </w:t>
      </w:r>
      <w:r w:rsidDel="00000000" w:rsidR="00000000" w:rsidRPr="00000000">
        <w:rPr>
          <w:b w:val="1"/>
          <w:bCs w:val="1"/>
          <w:rtl w:val="0"/>
        </w:rPr>
        <w:t xml:space="preserve">45 pkt</w:t>
      </w:r>
      <w:r w:rsidDel="00000000" w:rsidR="00000000" w:rsidRPr="00000000">
        <w:rPr>
          <w:rtl w:val="0"/>
        </w:rPr>
        <w:t xml:space="preserve"> | </w:t>
      </w:r>
      <w:r w:rsidDel="00000000" w:rsidR="00000000" w:rsidRPr="00000000">
        <w:rPr>
          <w:b w:val="1"/>
          <w:bCs w:val="1"/>
          <w:rtl w:val="0"/>
        </w:rPr>
        <w:t xml:space="preserve">35 pkt</w:t>
      </w:r>
      <w:r w:rsidDel="00000000" w:rsidR="00000000" w:rsidRPr="00000000">
        <w:rPr>
          <w:rtl w:val="0"/>
        </w:rPr>
        <w:t xml:space="preserve"> | </w:t>
      </w:r>
      <w:r w:rsidDel="00000000" w:rsidR="00000000" w:rsidRPr="00000000">
        <w:rPr>
          <w:b w:val="1"/>
          <w:bCs w:val="1"/>
          <w:rtl w:val="0"/>
        </w:rPr>
        <w:t xml:space="preserve">35%</w:t>
      </w:r>
      <w:r w:rsidDel="00000000" w:rsidR="00000000" w:rsidRPr="00000000">
        <w:rPr>
          <w:rtl w:val="0"/>
        </w:rPr>
        <w:t xml:space="preserve"> || Matematyka | 30 pkt | 35 pkt | 35% || Język obcy nowożytny | 55 pkt | 30 pkt | 30% || </w:t>
      </w:r>
      <w:r w:rsidDel="00000000" w:rsidR="00000000" w:rsidRPr="00000000">
        <w:rPr>
          <w:b w:val="1"/>
          <w:bCs w:val="1"/>
          <w:rtl w:val="0"/>
        </w:rPr>
        <w:t xml:space="preserve">ŁĄCZNIE (E8)</w:t>
      </w:r>
      <w:r w:rsidDel="00000000" w:rsidR="00000000" w:rsidRPr="00000000">
        <w:rPr>
          <w:rtl w:val="0"/>
        </w:rPr>
        <w:t xml:space="preserve"> | </w:t>
      </w:r>
      <w:r w:rsidDel="00000000" w:rsidR="00000000" w:rsidRPr="00000000">
        <w:rPr>
          <w:b w:val="1"/>
          <w:bCs w:val="1"/>
          <w:rtl w:val="0"/>
        </w:rPr>
        <w:t xml:space="preserve">130 pkt</w:t>
      </w:r>
      <w:r w:rsidDel="00000000" w:rsidR="00000000" w:rsidRPr="00000000">
        <w:rPr>
          <w:rtl w:val="0"/>
        </w:rPr>
        <w:t xml:space="preserve"> | </w:t>
      </w:r>
      <w:r w:rsidDel="00000000" w:rsidR="00000000" w:rsidRPr="00000000">
        <w:rPr>
          <w:b w:val="1"/>
          <w:bCs w:val="1"/>
          <w:rtl w:val="0"/>
        </w:rPr>
        <w:t xml:space="preserve">100 pkt</w:t>
      </w:r>
      <w:r w:rsidDel="00000000" w:rsidR="00000000" w:rsidRPr="00000000">
        <w:rPr>
          <w:rtl w:val="0"/>
        </w:rPr>
        <w:t xml:space="preserve"> | </w:t>
      </w:r>
      <w:r w:rsidDel="00000000" w:rsidR="00000000" w:rsidRPr="00000000">
        <w:rPr>
          <w:b w:val="1"/>
          <w:bCs w:val="1"/>
          <w:rtl w:val="0"/>
        </w:rPr>
        <w:t xml:space="preserve">100%</w:t>
      </w: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t xml:space="preserve">Wysoka ranga punktowa wypracowania (20/45 pkt surowych) czyni z niego kluczowy element strategii przygotowawczej, nierozerwalnie związany z precyzyjną znajomością kanonu lektur.</w:t>
      </w:r>
    </w:p>
    <w:p w:rsidR="00000000" w:rsidDel="00000000" w:rsidP="00000000" w:rsidRDefault="00000000" w:rsidRPr="00000000" w14:paraId="0000000C">
      <w:pPr>
        <w:pStyle w:val="Heading4"/>
        <w:rPr/>
      </w:pPr>
      <w:bookmarkStart w:colFirst="0" w:colLast="0" w:name="_fuysomjdc99g" w:id="3"/>
      <w:bookmarkEnd w:id="3"/>
      <w:r w:rsidDel="00000000" w:rsidR="00000000" w:rsidRPr="00000000">
        <w:rPr>
          <w:rtl w:val="0"/>
        </w:rPr>
        <w:t xml:space="preserve">3. Kompleksowy Wykaz Lektur Obowiązkowych (Klasy IV–VIII)</w:t>
      </w:r>
    </w:p>
    <w:p w:rsidR="00000000" w:rsidDel="00000000" w:rsidP="00000000" w:rsidRDefault="00000000" w:rsidRPr="00000000" w14:paraId="0000000D">
      <w:pPr>
        <w:rPr>
          <w:b w:val="1"/>
          <w:bCs w:val="1"/>
        </w:rPr>
      </w:pPr>
      <w:r w:rsidDel="00000000" w:rsidR="00000000" w:rsidRPr="00000000">
        <w:rPr>
          <w:rtl w:val="0"/>
        </w:rPr>
        <w:t xml:space="preserve">Strategia na rok 2027 musi uwzględniać największe wyzwanie pamięciowe: konieczność powrotu do lektur z klas IV–VI. Choć w latach 2025/2026 obowiązywał „okres karencji”, w którym zadania z lektur IV–VI opierały się wyłącznie na fragmentach dołączonych do arkusza, dla roku 2027 rekomenduje się strategię mitygacji ryzyka: uczeń powinien znać problematykę całego utworu, priorytetyzując jednak umiejętność analizy fragmentu w kontekście całości.</w:t>
      </w:r>
      <w:r w:rsidDel="00000000" w:rsidR="00000000" w:rsidRPr="00000000">
        <w:rPr>
          <w:b w:val="1"/>
          <w:bCs w:val="1"/>
          <w:rtl w:val="0"/>
        </w:rPr>
        <w:t xml:space="preserve">Kanon Klas IV–VI (Znajomość całości)</w:t>
      </w:r>
    </w:p>
    <w:p w:rsidR="00000000" w:rsidDel="00000000" w:rsidP="00000000" w:rsidRDefault="00000000" w:rsidRPr="00000000" w14:paraId="0000000E">
      <w:pPr>
        <w:numPr>
          <w:ilvl w:val="0"/>
          <w:numId w:val="5"/>
        </w:numPr>
        <w:ind w:left="720" w:hanging="360"/>
        <w:rPr>
          <w:u w:val="none"/>
        </w:rPr>
      </w:pPr>
      <w:r w:rsidDel="00000000" w:rsidR="00000000" w:rsidRPr="00000000">
        <w:rPr>
          <w:i w:val="1"/>
          <w:iCs w:val="1"/>
          <w:rtl w:val="0"/>
        </w:rPr>
        <w:t xml:space="preserve">Akademia Pana Kleksa</w:t>
      </w:r>
      <w:r w:rsidDel="00000000" w:rsidR="00000000" w:rsidRPr="00000000">
        <w:rPr>
          <w:rtl w:val="0"/>
        </w:rPr>
        <w:t xml:space="preserve">  (J. Brzechwa),  </w:t>
      </w:r>
      <w:r w:rsidDel="00000000" w:rsidR="00000000" w:rsidRPr="00000000">
        <w:rPr>
          <w:i w:val="1"/>
          <w:iCs w:val="1"/>
          <w:rtl w:val="0"/>
        </w:rPr>
        <w:t xml:space="preserve">Hobbit, czyli tam i z powrotem</w:t>
      </w:r>
      <w:r w:rsidDel="00000000" w:rsidR="00000000" w:rsidRPr="00000000">
        <w:rPr>
          <w:rtl w:val="0"/>
        </w:rPr>
        <w:t xml:space="preserve">  (J.R.R. Tolkien),  </w:t>
      </w:r>
      <w:r w:rsidDel="00000000" w:rsidR="00000000" w:rsidRPr="00000000">
        <w:rPr>
          <w:i w:val="1"/>
          <w:iCs w:val="1"/>
          <w:rtl w:val="0"/>
        </w:rPr>
        <w:t xml:space="preserve">Chłopcy z Placu Broni</w:t>
      </w:r>
      <w:r w:rsidDel="00000000" w:rsidR="00000000" w:rsidRPr="00000000">
        <w:rPr>
          <w:rtl w:val="0"/>
        </w:rPr>
        <w:t xml:space="preserve">  (F. Molnár),  </w:t>
      </w:r>
      <w:r w:rsidDel="00000000" w:rsidR="00000000" w:rsidRPr="00000000">
        <w:rPr>
          <w:i w:val="1"/>
          <w:iCs w:val="1"/>
          <w:rtl w:val="0"/>
        </w:rPr>
        <w:t xml:space="preserve">Lew, czarownica i stara szafa</w:t>
      </w:r>
      <w:r w:rsidDel="00000000" w:rsidR="00000000" w:rsidRPr="00000000">
        <w:rPr>
          <w:rtl w:val="0"/>
        </w:rPr>
        <w:t xml:space="preserve">  (C.S. Lewis).</w:t>
      </w:r>
    </w:p>
    <w:p w:rsidR="00000000" w:rsidDel="00000000" w:rsidP="00000000" w:rsidRDefault="00000000" w:rsidRPr="00000000" w14:paraId="0000000F">
      <w:pPr>
        <w:numPr>
          <w:ilvl w:val="0"/>
          <w:numId w:val="5"/>
        </w:numPr>
        <w:ind w:left="720" w:hanging="360"/>
        <w:rPr>
          <w:u w:val="none"/>
        </w:rPr>
      </w:pPr>
      <w:r w:rsidDel="00000000" w:rsidR="00000000" w:rsidRPr="00000000">
        <w:rPr>
          <w:i w:val="1"/>
          <w:iCs w:val="1"/>
          <w:rtl w:val="0"/>
        </w:rPr>
        <w:t xml:space="preserve">Kajko i Kokosz. Szkoła latania</w:t>
      </w:r>
      <w:r w:rsidDel="00000000" w:rsidR="00000000" w:rsidRPr="00000000">
        <w:rPr>
          <w:rtl w:val="0"/>
        </w:rPr>
        <w:t xml:space="preserve">  (J. Christa) – status komiksu jako pełnoprawnej lektury obowiązkowej.</w:t>
      </w:r>
      <w:r w:rsidDel="00000000" w:rsidR="00000000" w:rsidRPr="00000000">
        <w:rPr>
          <w:b w:val="1"/>
          <w:bCs w:val="1"/>
          <w:rtl w:val="0"/>
        </w:rPr>
        <w:t xml:space="preserve">Kanon Klas VII–VIII (Fundament egzaminu)</w:t>
      </w:r>
    </w:p>
    <w:p w:rsidR="00000000" w:rsidDel="00000000" w:rsidP="00000000" w:rsidRDefault="00000000" w:rsidRPr="00000000" w14:paraId="00000010">
      <w:pPr>
        <w:numPr>
          <w:ilvl w:val="0"/>
          <w:numId w:val="5"/>
        </w:numPr>
        <w:ind w:left="720" w:hanging="360"/>
        <w:rPr>
          <w:u w:val="none"/>
        </w:rPr>
      </w:pPr>
      <w:r w:rsidDel="00000000" w:rsidR="00000000" w:rsidRPr="00000000">
        <w:rPr>
          <w:i w:val="1"/>
          <w:iCs w:val="1"/>
          <w:rtl w:val="0"/>
        </w:rPr>
        <w:t xml:space="preserve">Zemsta</w:t>
      </w:r>
      <w:r w:rsidDel="00000000" w:rsidR="00000000" w:rsidRPr="00000000">
        <w:rPr>
          <w:rtl w:val="0"/>
        </w:rPr>
        <w:t xml:space="preserve">  (A. Fredro),  </w:t>
      </w:r>
      <w:r w:rsidDel="00000000" w:rsidR="00000000" w:rsidRPr="00000000">
        <w:rPr>
          <w:i w:val="1"/>
          <w:iCs w:val="1"/>
          <w:rtl w:val="0"/>
        </w:rPr>
        <w:t xml:space="preserve">Dziady cz. II</w:t>
      </w:r>
      <w:r w:rsidDel="00000000" w:rsidR="00000000" w:rsidRPr="00000000">
        <w:rPr>
          <w:rtl w:val="0"/>
        </w:rPr>
        <w:t xml:space="preserve">  (A. Mickiewicz),  </w:t>
      </w:r>
      <w:r w:rsidDel="00000000" w:rsidR="00000000" w:rsidRPr="00000000">
        <w:rPr>
          <w:i w:val="1"/>
          <w:iCs w:val="1"/>
          <w:rtl w:val="0"/>
        </w:rPr>
        <w:t xml:space="preserve">Balladyna</w:t>
      </w:r>
      <w:r w:rsidDel="00000000" w:rsidR="00000000" w:rsidRPr="00000000">
        <w:rPr>
          <w:rtl w:val="0"/>
        </w:rPr>
        <w:t xml:space="preserve">  (J. Słowacki),  </w:t>
      </w:r>
      <w:r w:rsidDel="00000000" w:rsidR="00000000" w:rsidRPr="00000000">
        <w:rPr>
          <w:i w:val="1"/>
          <w:iCs w:val="1"/>
          <w:rtl w:val="0"/>
        </w:rPr>
        <w:t xml:space="preserve">Mały Książę</w:t>
      </w:r>
      <w:r w:rsidDel="00000000" w:rsidR="00000000" w:rsidRPr="00000000">
        <w:rPr>
          <w:rtl w:val="0"/>
        </w:rPr>
        <w:t xml:space="preserve">  (A. de Saint-Exupéry),  </w:t>
      </w:r>
      <w:r w:rsidDel="00000000" w:rsidR="00000000" w:rsidRPr="00000000">
        <w:rPr>
          <w:i w:val="1"/>
          <w:iCs w:val="1"/>
          <w:rtl w:val="0"/>
        </w:rPr>
        <w:t xml:space="preserve">Opowieść wigilijna</w:t>
      </w:r>
      <w:r w:rsidDel="00000000" w:rsidR="00000000" w:rsidRPr="00000000">
        <w:rPr>
          <w:rtl w:val="0"/>
        </w:rPr>
        <w:t xml:space="preserve">  (Ch. Dickens),  </w:t>
      </w:r>
      <w:r w:rsidDel="00000000" w:rsidR="00000000" w:rsidRPr="00000000">
        <w:rPr>
          <w:i w:val="1"/>
          <w:iCs w:val="1"/>
          <w:rtl w:val="0"/>
        </w:rPr>
        <w:t xml:space="preserve">Kamienie na szaniec</w:t>
      </w:r>
      <w:r w:rsidDel="00000000" w:rsidR="00000000" w:rsidRPr="00000000">
        <w:rPr>
          <w:rtl w:val="0"/>
        </w:rPr>
        <w:t xml:space="preserve">  (A. Kamiński).</w:t>
      </w:r>
      <w:r w:rsidDel="00000000" w:rsidR="00000000" w:rsidRPr="00000000">
        <w:rPr>
          <w:b w:val="1"/>
          <w:bCs w:val="1"/>
          <w:rtl w:val="0"/>
        </w:rPr>
        <w:t xml:space="preserve">Utwory poetyckie i fragmenty (Status szczególny)</w:t>
      </w:r>
    </w:p>
    <w:p w:rsidR="00000000" w:rsidDel="00000000" w:rsidP="00000000" w:rsidRDefault="00000000" w:rsidRPr="00000000" w14:paraId="00000011">
      <w:pPr>
        <w:numPr>
          <w:ilvl w:val="0"/>
          <w:numId w:val="5"/>
        </w:numPr>
        <w:ind w:left="720" w:hanging="360"/>
        <w:rPr>
          <w:u w:val="none"/>
        </w:rPr>
      </w:pPr>
      <w:r w:rsidDel="00000000" w:rsidR="00000000" w:rsidRPr="00000000">
        <w:rPr>
          <w:b w:val="1"/>
          <w:bCs w:val="1"/>
          <w:rtl w:val="0"/>
        </w:rPr>
        <w:t xml:space="preserve">Adam Mickiewicz:</w:t>
      </w:r>
      <w:r w:rsidDel="00000000" w:rsidR="00000000" w:rsidRPr="00000000">
        <w:rPr>
          <w:rtl w:val="0"/>
        </w:rPr>
        <w:t xml:space="preserve">   </w:t>
      </w:r>
      <w:r w:rsidDel="00000000" w:rsidR="00000000" w:rsidRPr="00000000">
        <w:rPr>
          <w:i w:val="1"/>
          <w:iCs w:val="1"/>
          <w:rtl w:val="0"/>
        </w:rPr>
        <w:t xml:space="preserve">Reduta Ordona</w:t>
      </w:r>
      <w:r w:rsidDel="00000000" w:rsidR="00000000" w:rsidRPr="00000000">
        <w:rPr>
          <w:rtl w:val="0"/>
        </w:rPr>
        <w:t xml:space="preserve"> ,  </w:t>
      </w:r>
      <w:r w:rsidDel="00000000" w:rsidR="00000000" w:rsidRPr="00000000">
        <w:rPr>
          <w:i w:val="1"/>
          <w:iCs w:val="1"/>
          <w:rtl w:val="0"/>
        </w:rPr>
        <w:t xml:space="preserve">Świtezianka</w:t>
      </w:r>
      <w:r w:rsidDel="00000000" w:rsidR="00000000" w:rsidRPr="00000000">
        <w:rPr>
          <w:rtl w:val="0"/>
        </w:rPr>
        <w:t xml:space="preserve"> .</w:t>
      </w:r>
    </w:p>
    <w:p w:rsidR="00000000" w:rsidDel="00000000" w:rsidP="00000000" w:rsidRDefault="00000000" w:rsidRPr="00000000" w14:paraId="00000012">
      <w:pPr>
        <w:numPr>
          <w:ilvl w:val="0"/>
          <w:numId w:val="5"/>
        </w:numPr>
        <w:ind w:left="720" w:hanging="360"/>
        <w:rPr>
          <w:u w:val="none"/>
        </w:rPr>
      </w:pPr>
      <w:r w:rsidDel="00000000" w:rsidR="00000000" w:rsidRPr="00000000">
        <w:rPr>
          <w:b w:val="1"/>
          <w:bCs w:val="1"/>
          <w:rtl w:val="0"/>
        </w:rPr>
        <w:t xml:space="preserve">Pan Tadeusz:</w:t>
      </w:r>
      <w:r w:rsidDel="00000000" w:rsidR="00000000" w:rsidRPr="00000000">
        <w:rPr>
          <w:rtl w:val="0"/>
        </w:rPr>
        <w:t xml:space="preserve">  W części testowej obowiązują księgi: I, II, IV, X, XI, XII.  </w:t>
      </w:r>
      <w:r w:rsidDel="00000000" w:rsidR="00000000" w:rsidRPr="00000000">
        <w:rPr>
          <w:b w:val="1"/>
          <w:bCs w:val="1"/>
          <w:rtl w:val="0"/>
        </w:rPr>
        <w:t xml:space="preserve">Uwaga strategiczna:</w:t>
      </w:r>
      <w:r w:rsidDel="00000000" w:rsidR="00000000" w:rsidRPr="00000000">
        <w:rPr>
          <w:rtl w:val="0"/>
        </w:rPr>
        <w:t xml:space="preserve">  W wypracowaniu uczeń ma prawo (i powinien być do tego zachęcany) odwołać się do znajomości całego utworu.</w:t>
      </w:r>
    </w:p>
    <w:p w:rsidR="00000000" w:rsidDel="00000000" w:rsidP="00000000" w:rsidRDefault="00000000" w:rsidRPr="00000000" w14:paraId="00000013">
      <w:pPr>
        <w:numPr>
          <w:ilvl w:val="0"/>
          <w:numId w:val="5"/>
        </w:numPr>
        <w:ind w:left="720" w:hanging="360"/>
        <w:rPr>
          <w:u w:val="none"/>
        </w:rPr>
      </w:pPr>
      <w:r w:rsidDel="00000000" w:rsidR="00000000" w:rsidRPr="00000000">
        <w:rPr>
          <w:b w:val="1"/>
          <w:bCs w:val="1"/>
          <w:rtl w:val="0"/>
        </w:rPr>
        <w:t xml:space="preserve">Jan Kochanowski:</w:t>
      </w:r>
      <w:r w:rsidDel="00000000" w:rsidR="00000000" w:rsidRPr="00000000">
        <w:rPr>
          <w:rtl w:val="0"/>
        </w:rPr>
        <w:t xml:space="preserve">  Wybór fraszek i pieśni oraz  </w:t>
      </w:r>
      <w:r w:rsidDel="00000000" w:rsidR="00000000" w:rsidRPr="00000000">
        <w:rPr>
          <w:i w:val="1"/>
          <w:iCs w:val="1"/>
          <w:rtl w:val="0"/>
        </w:rPr>
        <w:t xml:space="preserve">Treny VII i VIII</w:t>
      </w:r>
      <w:r w:rsidDel="00000000" w:rsidR="00000000" w:rsidRPr="00000000">
        <w:rPr>
          <w:rtl w:val="0"/>
        </w:rPr>
        <w:t xml:space="preserve"> .</w:t>
      </w:r>
    </w:p>
    <w:p w:rsidR="00000000" w:rsidDel="00000000" w:rsidP="00000000" w:rsidRDefault="00000000" w:rsidRPr="00000000" w14:paraId="00000014">
      <w:pPr>
        <w:numPr>
          <w:ilvl w:val="0"/>
          <w:numId w:val="5"/>
        </w:numPr>
        <w:ind w:left="720" w:hanging="360"/>
        <w:rPr>
          <w:u w:val="none"/>
        </w:rPr>
      </w:pPr>
      <w:r w:rsidDel="00000000" w:rsidR="00000000" w:rsidRPr="00000000">
        <w:rPr>
          <w:b w:val="1"/>
          <w:bCs w:val="1"/>
          <w:rtl w:val="0"/>
        </w:rPr>
        <w:t xml:space="preserve">Henryk Sienkiewicz:</w:t>
      </w:r>
      <w:r w:rsidDel="00000000" w:rsidR="00000000" w:rsidRPr="00000000">
        <w:rPr>
          <w:rtl w:val="0"/>
        </w:rPr>
        <w:t xml:space="preserve">   </w:t>
      </w:r>
      <w:r w:rsidDel="00000000" w:rsidR="00000000" w:rsidRPr="00000000">
        <w:rPr>
          <w:i w:val="1"/>
          <w:iCs w:val="1"/>
          <w:rtl w:val="0"/>
        </w:rPr>
        <w:t xml:space="preserve">Latarnik</w:t>
      </w:r>
      <w:r w:rsidDel="00000000" w:rsidR="00000000" w:rsidRPr="00000000">
        <w:rPr>
          <w:rtl w:val="0"/>
        </w:rPr>
        <w:t xml:space="preserve">  oraz fragmenty  </w:t>
      </w:r>
      <w:r w:rsidDel="00000000" w:rsidR="00000000" w:rsidRPr="00000000">
        <w:rPr>
          <w:i w:val="1"/>
          <w:iCs w:val="1"/>
          <w:rtl w:val="0"/>
        </w:rPr>
        <w:t xml:space="preserve">Quo vadis</w:t>
      </w:r>
      <w:r w:rsidDel="00000000" w:rsidR="00000000" w:rsidRPr="00000000">
        <w:rPr>
          <w:rtl w:val="0"/>
        </w:rPr>
        <w:t xml:space="preserve"> .</w:t>
      </w:r>
    </w:p>
    <w:p w:rsidR="00000000" w:rsidDel="00000000" w:rsidP="00000000" w:rsidRDefault="00000000" w:rsidRPr="00000000" w14:paraId="00000015">
      <w:pPr>
        <w:numPr>
          <w:ilvl w:val="0"/>
          <w:numId w:val="5"/>
        </w:numPr>
        <w:ind w:left="720" w:hanging="360"/>
        <w:rPr>
          <w:u w:val="none"/>
        </w:rPr>
      </w:pPr>
      <w:r w:rsidDel="00000000" w:rsidR="00000000" w:rsidRPr="00000000">
        <w:rPr>
          <w:b w:val="1"/>
          <w:bCs w:val="1"/>
          <w:rtl w:val="0"/>
        </w:rPr>
        <w:t xml:space="preserve">Inne:</w:t>
      </w:r>
      <w:r w:rsidDel="00000000" w:rsidR="00000000" w:rsidRPr="00000000">
        <w:rPr>
          <w:rtl w:val="0"/>
        </w:rPr>
        <w:t xml:space="preserve">   </w:t>
      </w:r>
      <w:r w:rsidDel="00000000" w:rsidR="00000000" w:rsidRPr="00000000">
        <w:rPr>
          <w:i w:val="1"/>
          <w:iCs w:val="1"/>
          <w:rtl w:val="0"/>
        </w:rPr>
        <w:t xml:space="preserve">Artysta</w:t>
      </w:r>
      <w:r w:rsidDel="00000000" w:rsidR="00000000" w:rsidRPr="00000000">
        <w:rPr>
          <w:rtl w:val="0"/>
        </w:rPr>
        <w:t xml:space="preserve">  (S. Mrożek),  </w:t>
      </w:r>
      <w:r w:rsidDel="00000000" w:rsidR="00000000" w:rsidRPr="00000000">
        <w:rPr>
          <w:i w:val="1"/>
          <w:iCs w:val="1"/>
          <w:rtl w:val="0"/>
        </w:rPr>
        <w:t xml:space="preserve">Syzyfowe prace</w:t>
      </w:r>
      <w:r w:rsidDel="00000000" w:rsidR="00000000" w:rsidRPr="00000000">
        <w:rPr>
          <w:rtl w:val="0"/>
        </w:rPr>
        <w:t xml:space="preserve">  (S. Żeromski – fragmenty).Rozszerzenie kanonu sprawia, że repetytorium musi oferować narzędzia do szybkiej rekapitulacji treści poznanych we wczesnych etapach edukacji, co stanowi bazę dla matrycy umiejętności.</w:t>
      </w:r>
    </w:p>
    <w:p w:rsidR="00000000" w:rsidDel="00000000" w:rsidP="00000000" w:rsidRDefault="00000000" w:rsidRPr="00000000" w14:paraId="00000016">
      <w:pPr>
        <w:pStyle w:val="Heading4"/>
        <w:rPr/>
      </w:pPr>
      <w:bookmarkStart w:colFirst="0" w:colLast="0" w:name="_6tn3qdz67r0l" w:id="4"/>
      <w:bookmarkEnd w:id="4"/>
      <w:r w:rsidDel="00000000" w:rsidR="00000000" w:rsidRPr="00000000">
        <w:rPr>
          <w:rtl w:val="0"/>
        </w:rPr>
        <w:t xml:space="preserve">4. Matryca Wymaganych Umiejętności i Kompetencji</w:t>
      </w:r>
    </w:p>
    <w:p w:rsidR="00000000" w:rsidDel="00000000" w:rsidP="00000000" w:rsidRDefault="00000000" w:rsidRPr="00000000" w14:paraId="00000017">
      <w:pPr>
        <w:rPr/>
      </w:pPr>
      <w:r w:rsidDel="00000000" w:rsidR="00000000" w:rsidRPr="00000000">
        <w:rPr>
          <w:rtl w:val="0"/>
        </w:rPr>
        <w:t xml:space="preserve">Egzamin 2027 odchodzi od prostej reprodukcji na rzecz holistycznego sprawdzania kompetencji. Wyniki z 2026 r. jasno wskazują „wąskie gardła”:  </w:t>
      </w:r>
      <w:r w:rsidDel="00000000" w:rsidR="00000000" w:rsidRPr="00000000">
        <w:rPr>
          <w:b w:val="1"/>
          <w:bCs w:val="1"/>
          <w:rtl w:val="0"/>
        </w:rPr>
        <w:t xml:space="preserve">gramatykę, środki językowe oraz myślenie abstrakcyjne</w:t>
      </w:r>
      <w:r w:rsidDel="00000000" w:rsidR="00000000" w:rsidRPr="00000000">
        <w:rPr>
          <w:rtl w:val="0"/>
        </w:rPr>
        <w:t xml:space="preserve"> .</w:t>
      </w:r>
    </w:p>
    <w:p w:rsidR="00000000" w:rsidDel="00000000" w:rsidP="00000000" w:rsidRDefault="00000000" w:rsidRPr="00000000" w14:paraId="00000018">
      <w:pPr>
        <w:numPr>
          <w:ilvl w:val="0"/>
          <w:numId w:val="6"/>
        </w:numPr>
        <w:ind w:left="720" w:hanging="360"/>
        <w:rPr>
          <w:u w:val="none"/>
        </w:rPr>
      </w:pPr>
      <w:r w:rsidDel="00000000" w:rsidR="00000000" w:rsidRPr="00000000">
        <w:rPr>
          <w:b w:val="1"/>
          <w:bCs w:val="1"/>
          <w:rtl w:val="0"/>
        </w:rPr>
        <w:t xml:space="preserve">Kształcenie literackie i kulturowe:</w:t>
      </w:r>
      <w:r w:rsidDel="00000000" w:rsidR="00000000" w:rsidRPr="00000000">
        <w:rPr>
          <w:rtl w:val="0"/>
        </w:rPr>
        <w:t xml:space="preserve">  Interpretacja wymiaru aksjologicznego (prawda, dobro, piękno) oraz symbolicznego tekstów. Uczeń musi nie tylko „znać treść”, ale operować terminologią polonistyczną w procesie interpretacji sensów.</w:t>
      </w:r>
    </w:p>
    <w:p w:rsidR="00000000" w:rsidDel="00000000" w:rsidP="00000000" w:rsidRDefault="00000000" w:rsidRPr="00000000" w14:paraId="00000019">
      <w:pPr>
        <w:numPr>
          <w:ilvl w:val="0"/>
          <w:numId w:val="6"/>
        </w:numPr>
        <w:ind w:left="720" w:hanging="360"/>
        <w:rPr>
          <w:u w:val="none"/>
        </w:rPr>
      </w:pPr>
      <w:r w:rsidDel="00000000" w:rsidR="00000000" w:rsidRPr="00000000">
        <w:rPr>
          <w:b w:val="1"/>
          <w:bCs w:val="1"/>
          <w:rtl w:val="0"/>
        </w:rPr>
        <w:t xml:space="preserve">Kształcenie językowe:</w:t>
      </w:r>
      <w:r w:rsidDel="00000000" w:rsidR="00000000" w:rsidRPr="00000000">
        <w:rPr>
          <w:rtl w:val="0"/>
        </w:rPr>
        <w:t xml:space="preserve">  Budowanie odpowiedzialności za własne zachowania językowe. Kluczowa jest znajomość pojęć służących do opisu systemu językowego – tu notuje się największe deficyty punktowe.</w:t>
      </w:r>
    </w:p>
    <w:p w:rsidR="00000000" w:rsidDel="00000000" w:rsidP="00000000" w:rsidRDefault="00000000" w:rsidRPr="00000000" w14:paraId="0000001A">
      <w:pPr>
        <w:numPr>
          <w:ilvl w:val="0"/>
          <w:numId w:val="6"/>
        </w:numPr>
        <w:ind w:left="720" w:hanging="360"/>
        <w:rPr>
          <w:u w:val="none"/>
        </w:rPr>
      </w:pPr>
      <w:r w:rsidDel="00000000" w:rsidR="00000000" w:rsidRPr="00000000">
        <w:rPr>
          <w:b w:val="1"/>
          <w:bCs w:val="1"/>
          <w:rtl w:val="0"/>
        </w:rPr>
        <w:t xml:space="preserve">Tworzenie wypowiedzi i retoryka:</w:t>
      </w:r>
      <w:r w:rsidDel="00000000" w:rsidR="00000000" w:rsidRPr="00000000">
        <w:rPr>
          <w:rtl w:val="0"/>
        </w:rPr>
        <w:t xml:space="preserve">  Umiejętność argumentowania, rozpoznawania manipulacji oraz dbałość o estetykę tekstu.</w:t>
      </w:r>
    </w:p>
    <w:p w:rsidR="00000000" w:rsidDel="00000000" w:rsidP="00000000" w:rsidRDefault="00000000" w:rsidRPr="00000000" w14:paraId="0000001B">
      <w:pPr>
        <w:numPr>
          <w:ilvl w:val="0"/>
          <w:numId w:val="6"/>
        </w:numPr>
        <w:ind w:left="720" w:hanging="360"/>
        <w:rPr>
          <w:u w:val="none"/>
        </w:rPr>
      </w:pPr>
      <w:r w:rsidDel="00000000" w:rsidR="00000000" w:rsidRPr="00000000">
        <w:rPr>
          <w:b w:val="1"/>
          <w:bCs w:val="1"/>
          <w:rtl w:val="0"/>
        </w:rPr>
        <w:t xml:space="preserve">Analiza trudności:</w:t>
      </w:r>
      <w:r w:rsidDel="00000000" w:rsidR="00000000" w:rsidRPr="00000000">
        <w:rPr>
          <w:rtl w:val="0"/>
        </w:rPr>
        <w:t xml:space="preserve">  Repetytorium musi kłaść nacisk na przejście od operacji konkretnych do abstrakcyjnych. Najniższe wyniki w 2026 r. dotyczyły zadań wymagających wnioskowania ponadtekstowego oraz precyzyjnej analizy funkcji środków językowych.</w:t>
      </w:r>
    </w:p>
    <w:p w:rsidR="00000000" w:rsidDel="00000000" w:rsidP="00000000" w:rsidRDefault="00000000" w:rsidRPr="00000000" w14:paraId="0000001C">
      <w:pPr>
        <w:pStyle w:val="Heading4"/>
        <w:rPr/>
      </w:pPr>
      <w:bookmarkStart w:colFirst="0" w:colLast="0" w:name="_fbhjazkn6jez" w:id="5"/>
      <w:bookmarkEnd w:id="5"/>
      <w:r w:rsidDel="00000000" w:rsidR="00000000" w:rsidRPr="00000000">
        <w:rPr>
          <w:rtl w:val="0"/>
        </w:rPr>
        <w:t xml:space="preserve">5. Standardy Oceniania i Kryteria Sukcesu w Wypracowaniu</w:t>
      </w:r>
    </w:p>
    <w:p w:rsidR="00000000" w:rsidDel="00000000" w:rsidP="00000000" w:rsidRDefault="00000000" w:rsidRPr="00000000" w14:paraId="0000001D">
      <w:pPr>
        <w:rPr>
          <w:b w:val="1"/>
          <w:bCs w:val="1"/>
        </w:rPr>
      </w:pPr>
      <w:r w:rsidDel="00000000" w:rsidR="00000000" w:rsidRPr="00000000">
        <w:rPr>
          <w:rtl w:val="0"/>
        </w:rPr>
        <w:t xml:space="preserve">Zrozumienie kryteriów CKE pozwala uniknąć katastrofalnego wyniku „0 punktów”. Kluczowa jest tu precyzyjna realizacja formy i funkcjonalność odwołań lekturowych.</w:t>
      </w:r>
      <w:r w:rsidDel="00000000" w:rsidR="00000000" w:rsidRPr="00000000">
        <w:rPr>
          <w:b w:val="1"/>
          <w:bCs w:val="1"/>
          <w:rtl w:val="0"/>
        </w:rPr>
        <w:t xml:space="preserve">Krytyczne błędy (Dyskwalifikacja pracy):</w:t>
      </w:r>
    </w:p>
    <w:p w:rsidR="00000000" w:rsidDel="00000000" w:rsidP="00000000" w:rsidRDefault="00000000" w:rsidRPr="00000000" w14:paraId="0000001E">
      <w:pPr>
        <w:numPr>
          <w:ilvl w:val="0"/>
          <w:numId w:val="3"/>
        </w:numPr>
        <w:ind w:left="720" w:hanging="360"/>
        <w:rPr>
          <w:u w:val="none"/>
        </w:rPr>
      </w:pPr>
      <w:r w:rsidDel="00000000" w:rsidR="00000000" w:rsidRPr="00000000">
        <w:rPr>
          <w:rtl w:val="0"/>
        </w:rPr>
        <w:t xml:space="preserve">Praca nie na temat, nieczytelna lub niesamodzielna (unieważnienie).</w:t>
      </w:r>
    </w:p>
    <w:p w:rsidR="00000000" w:rsidDel="00000000" w:rsidP="00000000" w:rsidRDefault="00000000" w:rsidRPr="00000000" w14:paraId="0000001F">
      <w:pPr>
        <w:numPr>
          <w:ilvl w:val="0"/>
          <w:numId w:val="3"/>
        </w:numPr>
        <w:ind w:left="720" w:hanging="360"/>
        <w:rPr>
          <w:u w:val="none"/>
        </w:rPr>
      </w:pPr>
      <w:r w:rsidDel="00000000" w:rsidR="00000000" w:rsidRPr="00000000">
        <w:rPr>
          <w:rtl w:val="0"/>
        </w:rPr>
        <w:t xml:space="preserve">Brak odwołania do lektury obowiązkowej wskazanej w poleceniu.</w:t>
      </w:r>
    </w:p>
    <w:p w:rsidR="00000000" w:rsidDel="00000000" w:rsidP="00000000" w:rsidRDefault="00000000" w:rsidRPr="00000000" w14:paraId="00000020">
      <w:pPr>
        <w:numPr>
          <w:ilvl w:val="0"/>
          <w:numId w:val="3"/>
        </w:numPr>
        <w:ind w:left="720" w:hanging="360"/>
        <w:rPr>
          <w:u w:val="none"/>
        </w:rPr>
      </w:pPr>
      <w:r w:rsidDel="00000000" w:rsidR="00000000" w:rsidRPr="00000000">
        <w:rPr>
          <w:b w:val="1"/>
          <w:bCs w:val="1"/>
          <w:rtl w:val="0"/>
        </w:rPr>
        <w:t xml:space="preserve">Brak rozwinięcia:</w:t>
      </w:r>
      <w:r w:rsidDel="00000000" w:rsidR="00000000" w:rsidRPr="00000000">
        <w:rPr>
          <w:rtl w:val="0"/>
        </w:rPr>
        <w:t xml:space="preserve">  Napisanie samego wstępu skutkuje przyznaniem 0 punktów w każdym kryterium.</w:t>
      </w:r>
      <w:r w:rsidDel="00000000" w:rsidR="00000000" w:rsidRPr="00000000">
        <w:rPr>
          <w:b w:val="1"/>
          <w:bCs w:val="1"/>
          <w:rtl w:val="0"/>
        </w:rPr>
        <w:t xml:space="preserve">Kryteria formalno-językowe (Limity błędów)</w:t>
      </w:r>
      <w:r w:rsidDel="00000000" w:rsidR="00000000" w:rsidRPr="00000000">
        <w:rPr>
          <w:rtl w:val="0"/>
        </w:rPr>
        <w:t xml:space="preserve">| Kryterium | 2 pkt (Max) | 1 pkt | 0 pkt || ------ | ------ | ------ | ------ || </w:t>
      </w:r>
      <w:r w:rsidDel="00000000" w:rsidR="00000000" w:rsidRPr="00000000">
        <w:rPr>
          <w:b w:val="1"/>
          <w:bCs w:val="1"/>
          <w:rtl w:val="0"/>
        </w:rPr>
        <w:t xml:space="preserve">Ortografia</w:t>
      </w:r>
      <w:r w:rsidDel="00000000" w:rsidR="00000000" w:rsidRPr="00000000">
        <w:rPr>
          <w:rtl w:val="0"/>
        </w:rPr>
        <w:t xml:space="preserve"> | 0–1 błąd | 2–3 błędy | 4 i więcej || </w:t>
      </w:r>
      <w:r w:rsidDel="00000000" w:rsidR="00000000" w:rsidRPr="00000000">
        <w:rPr>
          <w:b w:val="1"/>
          <w:bCs w:val="1"/>
          <w:rtl w:val="0"/>
        </w:rPr>
        <w:t xml:space="preserve">Interpunkcja</w:t>
      </w:r>
      <w:r w:rsidDel="00000000" w:rsidR="00000000" w:rsidRPr="00000000">
        <w:rPr>
          <w:rtl w:val="0"/>
        </w:rPr>
        <w:t xml:space="preserve"> | 0–9 błędów (za 1 pkt) | – | 10 i więcej || </w:t>
      </w:r>
      <w:r w:rsidDel="00000000" w:rsidR="00000000" w:rsidRPr="00000000">
        <w:rPr>
          <w:b w:val="1"/>
          <w:bCs w:val="1"/>
          <w:rtl w:val="0"/>
        </w:rPr>
        <w:t xml:space="preserve">Język (zakres szeroki)</w:t>
      </w:r>
      <w:r w:rsidDel="00000000" w:rsidR="00000000" w:rsidRPr="00000000">
        <w:rPr>
          <w:rtl w:val="0"/>
        </w:rPr>
        <w:t xml:space="preserve"> | max 4 błędy (4 pkt) | 11–13 błędów (1 pkt) | 14 i więcej (0 pkt) |</w:t>
      </w:r>
    </w:p>
    <w:p w:rsidR="00000000" w:rsidDel="00000000" w:rsidP="00000000" w:rsidRDefault="00000000" w:rsidRPr="00000000" w14:paraId="00000021">
      <w:pPr>
        <w:rPr/>
      </w:pPr>
      <w:r w:rsidDel="00000000" w:rsidR="00000000" w:rsidRPr="00000000">
        <w:rPr>
          <w:b w:val="1"/>
          <w:bCs w:val="1"/>
          <w:rtl w:val="0"/>
        </w:rPr>
        <w:t xml:space="preserve">Dostosowania dla uczniów z dysleksją (Zasady specyficzne):</w:t>
      </w:r>
      <w:r w:rsidDel="00000000" w:rsidR="00000000" w:rsidRPr="00000000">
        <w:rPr>
          <w:rtl w:val="0"/>
        </w:rPr>
        <w:t xml:space="preserve">  W ocenie ortografii uczniów z dysleksją egzaminator uznaje za błędy wyłącznie pomyłki w zakresie  </w:t>
      </w:r>
      <w:r w:rsidDel="00000000" w:rsidR="00000000" w:rsidRPr="00000000">
        <w:rPr>
          <w:i w:val="1"/>
          <w:iCs w:val="1"/>
          <w:rtl w:val="0"/>
        </w:rPr>
        <w:t xml:space="preserve">u–ó, ż–rz, h–ch</w:t>
      </w:r>
      <w:r w:rsidDel="00000000" w:rsidR="00000000" w:rsidRPr="00000000">
        <w:rPr>
          <w:rtl w:val="0"/>
        </w:rPr>
        <w:t xml:space="preserve">  oraz pisownię wielką literą na początku zdania. Pozostałe błędy są pomijane, w tym:</w:t>
      </w:r>
    </w:p>
    <w:p w:rsidR="00000000" w:rsidDel="00000000" w:rsidP="00000000" w:rsidRDefault="00000000" w:rsidRPr="00000000" w14:paraId="00000022">
      <w:pPr>
        <w:numPr>
          <w:ilvl w:val="0"/>
          <w:numId w:val="4"/>
        </w:numPr>
        <w:ind w:left="720" w:hanging="360"/>
        <w:rPr>
          <w:u w:val="none"/>
        </w:rPr>
      </w:pPr>
      <w:r w:rsidDel="00000000" w:rsidR="00000000" w:rsidRPr="00000000">
        <w:rPr>
          <w:rtl w:val="0"/>
        </w:rPr>
        <w:t xml:space="preserve">Mylenie liter o podobnym kształcie ( </w:t>
      </w:r>
      <w:r w:rsidDel="00000000" w:rsidR="00000000" w:rsidRPr="00000000">
        <w:rPr>
          <w:i w:val="1"/>
          <w:iCs w:val="1"/>
          <w:rtl w:val="0"/>
        </w:rPr>
        <w:t xml:space="preserve">a-o, l-ł, n-r, m-n, u-w, p-b, d-g</w:t>
      </w:r>
      <w:r w:rsidDel="00000000" w:rsidR="00000000" w:rsidRPr="00000000">
        <w:rPr>
          <w:rtl w:val="0"/>
        </w:rPr>
        <w:t xml:space="preserve"> ).</w:t>
      </w:r>
    </w:p>
    <w:p w:rsidR="00000000" w:rsidDel="00000000" w:rsidP="00000000" w:rsidRDefault="00000000" w:rsidRPr="00000000" w14:paraId="00000023">
      <w:pPr>
        <w:numPr>
          <w:ilvl w:val="0"/>
          <w:numId w:val="4"/>
        </w:numPr>
        <w:ind w:left="720" w:hanging="360"/>
        <w:rPr>
          <w:u w:val="none"/>
        </w:rPr>
      </w:pPr>
      <w:r w:rsidDel="00000000" w:rsidR="00000000" w:rsidRPr="00000000">
        <w:rPr>
          <w:rtl w:val="0"/>
        </w:rPr>
        <w:t xml:space="preserve">Omijanie drobnych elementów graficznych (kropki nad  </w:t>
      </w:r>
      <w:r w:rsidDel="00000000" w:rsidR="00000000" w:rsidRPr="00000000">
        <w:rPr>
          <w:i w:val="1"/>
          <w:iCs w:val="1"/>
          <w:rtl w:val="0"/>
        </w:rPr>
        <w:t xml:space="preserve">i, j, ż</w:t>
      </w:r>
      <w:r w:rsidDel="00000000" w:rsidR="00000000" w:rsidRPr="00000000">
        <w:rPr>
          <w:rtl w:val="0"/>
        </w:rPr>
        <w:t xml:space="preserve"> ; ogonki przy  </w:t>
      </w:r>
      <w:r w:rsidDel="00000000" w:rsidR="00000000" w:rsidRPr="00000000">
        <w:rPr>
          <w:i w:val="1"/>
          <w:iCs w:val="1"/>
          <w:rtl w:val="0"/>
        </w:rPr>
        <w:t xml:space="preserve">ą, ę</w:t>
      </w:r>
      <w:r w:rsidDel="00000000" w:rsidR="00000000" w:rsidRPr="00000000">
        <w:rPr>
          <w:rtl w:val="0"/>
        </w:rPr>
        <w:t xml:space="preserve"> ; kreski przy  </w:t>
      </w:r>
      <w:r w:rsidDel="00000000" w:rsidR="00000000" w:rsidRPr="00000000">
        <w:rPr>
          <w:i w:val="1"/>
          <w:iCs w:val="1"/>
          <w:rtl w:val="0"/>
        </w:rPr>
        <w:t xml:space="preserve">ó, t, ł</w:t>
      </w:r>
      <w:r w:rsidDel="00000000" w:rsidR="00000000" w:rsidRPr="00000000">
        <w:rPr>
          <w:rtl w:val="0"/>
        </w:rPr>
        <w:t xml:space="preserve"> ).</w:t>
      </w:r>
    </w:p>
    <w:p w:rsidR="00000000" w:rsidDel="00000000" w:rsidP="00000000" w:rsidRDefault="00000000" w:rsidRPr="00000000" w14:paraId="00000024">
      <w:pPr>
        <w:numPr>
          <w:ilvl w:val="0"/>
          <w:numId w:val="4"/>
        </w:numPr>
        <w:ind w:left="720" w:hanging="360"/>
        <w:rPr>
          <w:u w:val="none"/>
        </w:rPr>
      </w:pPr>
      <w:r w:rsidDel="00000000" w:rsidR="00000000" w:rsidRPr="00000000">
        <w:rPr>
          <w:rtl w:val="0"/>
        </w:rPr>
        <w:t xml:space="preserve">Błędy w dźwięczności ( </w:t>
      </w:r>
      <w:r w:rsidDel="00000000" w:rsidR="00000000" w:rsidRPr="00000000">
        <w:rPr>
          <w:i w:val="1"/>
          <w:iCs w:val="1"/>
          <w:rtl w:val="0"/>
        </w:rPr>
        <w:t xml:space="preserve">proźba</w:t>
      </w:r>
      <w:r w:rsidDel="00000000" w:rsidR="00000000" w:rsidRPr="00000000">
        <w:rPr>
          <w:rtl w:val="0"/>
        </w:rPr>
        <w:t xml:space="preserve">  zamiast  </w:t>
      </w:r>
      <w:r w:rsidDel="00000000" w:rsidR="00000000" w:rsidRPr="00000000">
        <w:rPr>
          <w:i w:val="1"/>
          <w:iCs w:val="1"/>
          <w:rtl w:val="0"/>
        </w:rPr>
        <w:t xml:space="preserve">prośba</w:t>
      </w:r>
      <w:r w:rsidDel="00000000" w:rsidR="00000000" w:rsidRPr="00000000">
        <w:rPr>
          <w:rtl w:val="0"/>
        </w:rPr>
        <w:t xml:space="preserve"> ) oraz błędny podział wyrazów i zapis przyimków ( </w:t>
      </w:r>
      <w:r w:rsidDel="00000000" w:rsidR="00000000" w:rsidRPr="00000000">
        <w:rPr>
          <w:i w:val="1"/>
          <w:iCs w:val="1"/>
          <w:rtl w:val="0"/>
        </w:rPr>
        <w:t xml:space="preserve">wklasie</w:t>
      </w:r>
      <w:r w:rsidDel="00000000" w:rsidR="00000000" w:rsidRPr="00000000">
        <w:rPr>
          <w:rtl w:val="0"/>
        </w:rPr>
        <w:t xml:space="preserve"> ,  </w:t>
      </w:r>
      <w:r w:rsidDel="00000000" w:rsidR="00000000" w:rsidRPr="00000000">
        <w:rPr>
          <w:i w:val="1"/>
          <w:iCs w:val="1"/>
          <w:rtl w:val="0"/>
        </w:rPr>
        <w:t xml:space="preserve">napewno</w:t>
      </w:r>
      <w:r w:rsidDel="00000000" w:rsidR="00000000" w:rsidRPr="00000000">
        <w:rPr>
          <w:rtl w:val="0"/>
        </w:rPr>
        <w:t xml:space="preserve"> ).</w:t>
      </w:r>
    </w:p>
    <w:p w:rsidR="00000000" w:rsidDel="00000000" w:rsidP="00000000" w:rsidRDefault="00000000" w:rsidRPr="00000000" w14:paraId="00000025">
      <w:pPr>
        <w:pStyle w:val="Heading4"/>
        <w:rPr/>
      </w:pPr>
      <w:bookmarkStart w:colFirst="0" w:colLast="0" w:name="_v239mw1lso7o" w:id="6"/>
      <w:bookmarkEnd w:id="6"/>
      <w:r w:rsidDel="00000000" w:rsidR="00000000" w:rsidRPr="00000000">
        <w:rPr>
          <w:rtl w:val="0"/>
        </w:rPr>
        <w:t xml:space="preserve">6. Wytyczne Metodyczne dla Projektanta Repetytorium</w:t>
      </w:r>
    </w:p>
    <w:p w:rsidR="00000000" w:rsidDel="00000000" w:rsidP="00000000" w:rsidRDefault="00000000" w:rsidRPr="00000000" w14:paraId="00000026">
      <w:pPr>
        <w:rPr/>
      </w:pPr>
      <w:r w:rsidDel="00000000" w:rsidR="00000000" w:rsidRPr="00000000">
        <w:rPr>
          <w:rtl w:val="0"/>
        </w:rPr>
        <w:t xml:space="preserve">Aby sprostać wymaganiom egzaminu w maju 2027, proces projektowania treści musi opierać się na poniższych dyrektywach:</w:t>
      </w:r>
    </w:p>
    <w:p w:rsidR="00000000" w:rsidDel="00000000" w:rsidP="00000000" w:rsidRDefault="00000000" w:rsidRPr="00000000" w14:paraId="00000027">
      <w:pPr>
        <w:numPr>
          <w:ilvl w:val="0"/>
          <w:numId w:val="2"/>
        </w:numPr>
        <w:ind w:left="720" w:hanging="360"/>
        <w:rPr>
          <w:u w:val="none"/>
        </w:rPr>
      </w:pPr>
      <w:r w:rsidDel="00000000" w:rsidR="00000000" w:rsidRPr="00000000">
        <w:rPr>
          <w:b w:val="1"/>
          <w:bCs w:val="1"/>
          <w:rtl w:val="0"/>
        </w:rPr>
        <w:t xml:space="preserve">Zaimplementuj „Zadania zintegrowane sprawdzające umiejętności złożone”:</w:t>
      </w:r>
      <w:r w:rsidDel="00000000" w:rsidR="00000000" w:rsidRPr="00000000">
        <w:rPr>
          <w:rtl w:val="0"/>
        </w:rPr>
        <w:t xml:space="preserve">  Odejmij nacisk od izolowanych pytań testowych na rzecz wiązek zadań łączących analizę tekstu literackiego, nieliterackiego oraz tekstu ikonicznego (plakat/obraz) w ramach jednego bloku tematycznego.</w:t>
      </w:r>
    </w:p>
    <w:p w:rsidR="00000000" w:rsidDel="00000000" w:rsidP="00000000" w:rsidRDefault="00000000" w:rsidRPr="00000000" w14:paraId="00000028">
      <w:pPr>
        <w:numPr>
          <w:ilvl w:val="0"/>
          <w:numId w:val="2"/>
        </w:numPr>
        <w:ind w:left="720" w:hanging="360"/>
        <w:rPr>
          <w:u w:val="none"/>
        </w:rPr>
      </w:pPr>
      <w:r w:rsidDel="00000000" w:rsidR="00000000" w:rsidRPr="00000000">
        <w:rPr>
          <w:b w:val="1"/>
          <w:bCs w:val="1"/>
          <w:rtl w:val="0"/>
        </w:rPr>
        <w:t xml:space="preserve">Operacjonalizuj wymagania dotyczące myślenia abstrakcyjnego:</w:t>
      </w:r>
      <w:r w:rsidDel="00000000" w:rsidR="00000000" w:rsidRPr="00000000">
        <w:rPr>
          <w:rtl w:val="0"/>
        </w:rPr>
        <w:t xml:space="preserve">  Wprowadź moduły uczące wnioskowania i formułowania sądów ogólnych. Skoncentruj się na funkcji środków językowych, a nie tylko na ich nazywaniu.</w:t>
      </w:r>
    </w:p>
    <w:p w:rsidR="00000000" w:rsidDel="00000000" w:rsidP="00000000" w:rsidRDefault="00000000" w:rsidRPr="00000000" w14:paraId="00000029">
      <w:pPr>
        <w:numPr>
          <w:ilvl w:val="0"/>
          <w:numId w:val="2"/>
        </w:numPr>
        <w:ind w:left="720" w:hanging="360"/>
        <w:rPr>
          <w:u w:val="none"/>
        </w:rPr>
      </w:pPr>
      <w:r w:rsidDel="00000000" w:rsidR="00000000" w:rsidRPr="00000000">
        <w:rPr>
          <w:b w:val="1"/>
          <w:bCs w:val="1"/>
          <w:rtl w:val="0"/>
        </w:rPr>
        <w:t xml:space="preserve">Skoreluj powtórki lekturowe z systemem „Map Pamięci”:</w:t>
      </w:r>
      <w:r w:rsidDel="00000000" w:rsidR="00000000" w:rsidRPr="00000000">
        <w:rPr>
          <w:rtl w:val="0"/>
        </w:rPr>
        <w:t xml:space="preserve">  Dla kanonu klas IV–VI opracuj systemy wizualne ułatwiające szybką rekapitulację wątków i bohaterów lektur poznanych kilka lat wcześniej, uwzględniając status fragmentów w arkuszu.</w:t>
      </w:r>
    </w:p>
    <w:p w:rsidR="00000000" w:rsidDel="00000000" w:rsidP="00000000" w:rsidRDefault="00000000" w:rsidRPr="00000000" w14:paraId="0000002A">
      <w:pPr>
        <w:numPr>
          <w:ilvl w:val="0"/>
          <w:numId w:val="2"/>
        </w:numPr>
        <w:ind w:left="720" w:hanging="360"/>
        <w:rPr>
          <w:u w:val="none"/>
        </w:rPr>
      </w:pPr>
      <w:r w:rsidDel="00000000" w:rsidR="00000000" w:rsidRPr="00000000">
        <w:rPr>
          <w:b w:val="1"/>
          <w:bCs w:val="1"/>
          <w:rtl w:val="0"/>
        </w:rPr>
        <w:t xml:space="preserve">Wyeksponuj zasady autokorekty wypracowań:</w:t>
      </w:r>
      <w:r w:rsidDel="00000000" w:rsidR="00000000" w:rsidRPr="00000000">
        <w:rPr>
          <w:rtl w:val="0"/>
        </w:rPr>
        <w:t xml:space="preserve">  Naucz ucznia weryfikacji pracy pod kątem „braku rozwinięcia” oraz poprawności rzeczowej w odwołaniach do  </w:t>
      </w:r>
      <w:r w:rsidDel="00000000" w:rsidR="00000000" w:rsidRPr="00000000">
        <w:rPr>
          <w:i w:val="1"/>
          <w:iCs w:val="1"/>
          <w:rtl w:val="0"/>
        </w:rPr>
        <w:t xml:space="preserve">Pana Tadeusza</w:t>
      </w:r>
      <w:r w:rsidDel="00000000" w:rsidR="00000000" w:rsidRPr="00000000">
        <w:rPr>
          <w:rtl w:val="0"/>
        </w:rPr>
        <w:t xml:space="preserve">  (rozróżnienie między fragmentami obowiązkowymi w teście a całością dopuszczalną w rozprawce).</w:t>
      </w:r>
    </w:p>
    <w:p w:rsidR="00000000" w:rsidDel="00000000" w:rsidP="00000000" w:rsidRDefault="00000000" w:rsidRPr="00000000" w14:paraId="0000002B">
      <w:pPr>
        <w:numPr>
          <w:ilvl w:val="0"/>
          <w:numId w:val="2"/>
        </w:numPr>
        <w:ind w:left="720" w:hanging="360"/>
        <w:rPr>
          <w:u w:val="none"/>
        </w:rPr>
      </w:pPr>
      <w:r w:rsidDel="00000000" w:rsidR="00000000" w:rsidRPr="00000000">
        <w:rPr>
          <w:b w:val="1"/>
          <w:bCs w:val="1"/>
          <w:rtl w:val="0"/>
        </w:rPr>
        <w:t xml:space="preserve">Zoptymalizuj moduły dla uczniów z trudnościami:</w:t>
      </w:r>
      <w:r w:rsidDel="00000000" w:rsidR="00000000" w:rsidRPr="00000000">
        <w:rPr>
          <w:rtl w:val="0"/>
        </w:rPr>
        <w:t xml:space="preserve">  Wprowadź ramki „Tip dla dyslektyka”, wskazujące, które błędy (np. ogonki, kropki) nie obniżają ich punktacji, co zredukuje stres egzaminacyjny.Repetytorium 2027 musi być narzędziem budującym nie tylko zasób wiedzy, ale przede wszystkim sprawność w operowaniu systemem wymagań CKE, przekształcając potencjalne „wąskie gardła” w atuty kandydata.</w:t>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