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esbc3h1nmrum" w:id="0"/>
      <w:bookmarkEnd w:id="0"/>
      <w:r w:rsidDel="00000000" w:rsidR="00000000" w:rsidRPr="00000000">
        <w:rPr>
          <w:rtl w:val="0"/>
        </w:rPr>
        <w:t xml:space="preserve">Raport Metodyczny: Zakres i Struktura Egzaminu Ósmoklasisty z Matematyki 2027</w:t>
      </w:r>
    </w:p>
    <w:p w:rsidR="00000000" w:rsidDel="00000000" w:rsidP="00000000" w:rsidRDefault="00000000" w:rsidRPr="00000000" w14:paraId="00000002">
      <w:pPr>
        <w:pStyle w:val="Heading4"/>
        <w:rPr/>
      </w:pPr>
      <w:bookmarkStart w:colFirst="0" w:colLast="0" w:name="_ri1w931n07r0" w:id="1"/>
      <w:bookmarkEnd w:id="1"/>
      <w:r w:rsidDel="00000000" w:rsidR="00000000" w:rsidRPr="00000000">
        <w:rPr>
          <w:rtl w:val="0"/>
        </w:rPr>
        <w:t xml:space="preserve">1. Kontekst Reformy i Strategiczne Znaczenie Egzaminu 2027</w:t>
      </w:r>
    </w:p>
    <w:p w:rsidR="00000000" w:rsidDel="00000000" w:rsidP="00000000" w:rsidRDefault="00000000" w:rsidRPr="00000000" w14:paraId="00000003">
      <w:pPr>
        <w:rPr/>
      </w:pPr>
      <w:r w:rsidDel="00000000" w:rsidR="00000000" w:rsidRPr="00000000">
        <w:rPr>
          <w:rtl w:val="0"/>
        </w:rPr>
        <w:t xml:space="preserve">Egzamin ósmoklasisty w 2027 roku stanowi finalny etap stabilizacji systemu oceniania po reformach z lat 2024–2025. Kluczowym punktem odniesienia jest rozporządzenie Ministra Edukacji Narodowej z czerwca 2024 roku, które wprowadziło „odchudzoną” o 20% podstawę programową. Reforma ta miała na celu odejście od encyklopedyzmu na rzecz głębszego rozumienia procesów matematycznych, jednak dla zdających w 2027 roku oznacza ona paradoksalnie wyższe wymagania niż w okresie pandemicznym.Egzamin 2027 definitywnie odcina się od złagodzonych wymagań egzaminacyjnych stosowanych w latach 2021–2024. Powrót do pełnego zakresu tematów (mimo ich uszczuplenia w samej podstawie) sprawia, że poziom trudności pozostaje wysoki. Potwierdzają to dane z 2026 roku, gdzie  </w:t>
      </w:r>
      <w:r w:rsidDel="00000000" w:rsidR="00000000" w:rsidRPr="00000000">
        <w:rPr>
          <w:b w:val="1"/>
          <w:bCs w:val="1"/>
          <w:rtl w:val="0"/>
        </w:rPr>
        <w:t xml:space="preserve">średni wynik krajowy wyniósł zaledwie 55%</w:t>
      </w:r>
      <w:r w:rsidDel="00000000" w:rsidR="00000000" w:rsidRPr="00000000">
        <w:rPr>
          <w:rtl w:val="0"/>
        </w:rPr>
        <w:t xml:space="preserve"> . W realiach rekrutacyjnych, gdzie wynik z matematyki generuje aż 35 punktów w 100-punktowej skali, przedmiot ten staje się głównym selektorem w dostępie do renomowanych liceów i techników. Zrozumienie architektury arkusza jest zatem priorytetem dla każdego projektanta treści edukacyjnych.</w:t>
      </w:r>
    </w:p>
    <w:p w:rsidR="00000000" w:rsidDel="00000000" w:rsidP="00000000" w:rsidRDefault="00000000" w:rsidRPr="00000000" w14:paraId="00000004">
      <w:pPr>
        <w:pStyle w:val="Heading4"/>
        <w:rPr/>
      </w:pPr>
      <w:bookmarkStart w:colFirst="0" w:colLast="0" w:name="_d8gnrng2llg2" w:id="2"/>
      <w:bookmarkEnd w:id="2"/>
      <w:r w:rsidDel="00000000" w:rsidR="00000000" w:rsidRPr="00000000">
        <w:rPr>
          <w:rtl w:val="0"/>
        </w:rPr>
        <w:t xml:space="preserve">2. Architektura Arkusza i System Punktacji</w:t>
      </w:r>
    </w:p>
    <w:p w:rsidR="00000000" w:rsidDel="00000000" w:rsidP="00000000" w:rsidRDefault="00000000" w:rsidRPr="00000000" w14:paraId="00000005">
      <w:pPr>
        <w:rPr/>
      </w:pPr>
      <w:r w:rsidDel="00000000" w:rsidR="00000000" w:rsidRPr="00000000">
        <w:rPr>
          <w:rtl w:val="0"/>
        </w:rPr>
        <w:t xml:space="preserve">Współczesny model egzaminu przesuwa ciężar oceny z zadań zamkniętych na otwarte, co ma na celu weryfikację samodzielnego myślenia ucznia. Poniższa tabela syntetyzuje parametry techniczne obowiązujące w 2027 roku:| Parametr Techniczny | Specyfikacja Modelu 2027 || ------ | ------ || </w:t>
      </w:r>
      <w:r w:rsidDel="00000000" w:rsidR="00000000" w:rsidRPr="00000000">
        <w:rPr>
          <w:b w:val="1"/>
          <w:bCs w:val="1"/>
          <w:rtl w:val="0"/>
        </w:rPr>
        <w:t xml:space="preserve">Maksymalna liczba punktów</w:t>
      </w:r>
      <w:r w:rsidDel="00000000" w:rsidR="00000000" w:rsidRPr="00000000">
        <w:rPr>
          <w:rtl w:val="0"/>
        </w:rPr>
        <w:t xml:space="preserve"> | 30 || </w:t>
      </w:r>
      <w:r w:rsidDel="00000000" w:rsidR="00000000" w:rsidRPr="00000000">
        <w:rPr>
          <w:b w:val="1"/>
          <w:bCs w:val="1"/>
          <w:rtl w:val="0"/>
        </w:rPr>
        <w:t xml:space="preserve">Liczba zadań otwartych</w:t>
      </w:r>
      <w:r w:rsidDel="00000000" w:rsidR="00000000" w:rsidRPr="00000000">
        <w:rPr>
          <w:rtl w:val="0"/>
        </w:rPr>
        <w:t xml:space="preserve"> | 6 || </w:t>
      </w:r>
      <w:r w:rsidDel="00000000" w:rsidR="00000000" w:rsidRPr="00000000">
        <w:rPr>
          <w:b w:val="1"/>
          <w:bCs w:val="1"/>
          <w:rtl w:val="0"/>
        </w:rPr>
        <w:t xml:space="preserve">Czas trwania</w:t>
      </w:r>
      <w:r w:rsidDel="00000000" w:rsidR="00000000" w:rsidRPr="00000000">
        <w:rPr>
          <w:rtl w:val="0"/>
        </w:rPr>
        <w:t xml:space="preserve"> | 110–120 minut || </w:t>
      </w:r>
      <w:r w:rsidDel="00000000" w:rsidR="00000000" w:rsidRPr="00000000">
        <w:rPr>
          <w:b w:val="1"/>
          <w:bCs w:val="1"/>
          <w:rtl w:val="0"/>
        </w:rPr>
        <w:t xml:space="preserve">Średni wynik (bazowy 2026)</w:t>
      </w:r>
      <w:r w:rsidDel="00000000" w:rsidR="00000000" w:rsidRPr="00000000">
        <w:rPr>
          <w:rtl w:val="0"/>
        </w:rPr>
        <w:t xml:space="preserve"> | 55% || </w:t>
      </w:r>
      <w:r w:rsidDel="00000000" w:rsidR="00000000" w:rsidRPr="00000000">
        <w:rPr>
          <w:b w:val="1"/>
          <w:bCs w:val="1"/>
          <w:rtl w:val="0"/>
        </w:rPr>
        <w:t xml:space="preserve">Próg sukcesu (&gt;90% pkt)</w:t>
      </w:r>
      <w:r w:rsidDel="00000000" w:rsidR="00000000" w:rsidRPr="00000000">
        <w:rPr>
          <w:rtl w:val="0"/>
        </w:rPr>
        <w:t xml:space="preserve"> | 13,6% populacji |</w:t>
      </w:r>
    </w:p>
    <w:p w:rsidR="00000000" w:rsidDel="00000000" w:rsidP="00000000" w:rsidRDefault="00000000" w:rsidRPr="00000000" w14:paraId="00000006">
      <w:pPr>
        <w:rPr/>
      </w:pPr>
      <w:r w:rsidDel="00000000" w:rsidR="00000000" w:rsidRPr="00000000">
        <w:rPr>
          <w:b w:val="1"/>
          <w:bCs w:val="1"/>
          <w:rtl w:val="0"/>
        </w:rPr>
        <w:t xml:space="preserve">Analiza „So What?”: Dlaczego struktura ma znaczenie?</w:t>
      </w:r>
      <w:r w:rsidDel="00000000" w:rsidR="00000000" w:rsidRPr="00000000">
        <w:rPr>
          <w:rtl w:val="0"/>
        </w:rPr>
        <w:t xml:space="preserve">  Zwiększenie liczby zadań otwartych z 4 do 6 jest bezpośrednią przyczyną wzrostu maksymalnej liczby punktów do 30. Ta zmiana techniczna wymusza na uczniu nową strategię pracy. Przy limicie czasowym wynoszącym ok. 110 minut, uczeń ma niezwykle mało czasu na precyzyjny zapis 6 pełnych rozwiązań. Kluczowym „selling pointem” nowoczesnego repetytorium musi być nauka precyzyjnej notacji matematycznej – uczeń musi wiedzieć, jak zapisać tok rozumowania, by zdobyć punkty cząstkowe nawet w przypadku błędu rachunkowego.</w:t>
      </w:r>
    </w:p>
    <w:p w:rsidR="00000000" w:rsidDel="00000000" w:rsidP="00000000" w:rsidRDefault="00000000" w:rsidRPr="00000000" w14:paraId="00000007">
      <w:pPr>
        <w:pStyle w:val="Heading4"/>
        <w:rPr/>
      </w:pPr>
      <w:bookmarkStart w:colFirst="0" w:colLast="0" w:name="_j6pa5gp3gmgc" w:id="3"/>
      <w:bookmarkEnd w:id="3"/>
      <w:r w:rsidDel="00000000" w:rsidR="00000000" w:rsidRPr="00000000">
        <w:rPr>
          <w:rtl w:val="0"/>
        </w:rPr>
        <w:t xml:space="preserve">3. Cztery Filary Wymagań Ogólnych – Analiza Kompetencyjna</w:t>
      </w:r>
    </w:p>
    <w:p w:rsidR="00000000" w:rsidDel="00000000" w:rsidP="00000000" w:rsidRDefault="00000000" w:rsidRPr="00000000" w14:paraId="00000008">
      <w:pPr>
        <w:rPr/>
      </w:pPr>
      <w:r w:rsidDel="00000000" w:rsidR="00000000" w:rsidRPr="00000000">
        <w:rPr>
          <w:rtl w:val="0"/>
        </w:rPr>
        <w:t xml:space="preserve">Jako Architekt Programów Nauczania definiuję cztery fundamenty, wokół których autor repetytorium musi budować materiał ćwiczeniowy:</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Sprawność rachunkowa:</w:t>
      </w:r>
      <w:r w:rsidDel="00000000" w:rsidR="00000000" w:rsidRPr="00000000">
        <w:rPr>
          <w:rtl w:val="0"/>
        </w:rPr>
        <w:t xml:space="preserve">  Wykonywanie obliczeń w sytuacjach praktycznych (np. finanse, miary) oraz krytyczna ocena sensowności wyniku (czy wynik pasuje do realiów zadania?).</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Wykorzystanie i tworzenie informacji:</w:t>
      </w:r>
      <w:r w:rsidDel="00000000" w:rsidR="00000000" w:rsidRPr="00000000">
        <w:rPr>
          <w:rtl w:val="0"/>
        </w:rPr>
        <w:t xml:space="preserve">  Interpretacja danych w formach złożonych (tabele korelacyjne, wykresy) i precyzyjne stosowanie języka matematycznego w opisie procesów.</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Wykorzystanie i interpretowanie reprezentacji:</w:t>
      </w:r>
      <w:r w:rsidDel="00000000" w:rsidR="00000000" w:rsidRPr="00000000">
        <w:rPr>
          <w:rtl w:val="0"/>
        </w:rPr>
        <w:t xml:space="preserve">  Dobieranie modeli matematycznych do problemów rzeczywistych (modelowanie) i operowanie obiektami geometrycznymi.</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Rozumowanie i argumentacja:</w:t>
      </w:r>
      <w:r w:rsidDel="00000000" w:rsidR="00000000" w:rsidRPr="00000000">
        <w:rPr>
          <w:rtl w:val="0"/>
        </w:rPr>
        <w:t xml:space="preserve">  Najtrudniejszy filar, wymagający tworzenia strategii rozwiązywania zadań wieloetapowych oraz budowania dowodów (zadania typu „wykaż, że...”).</w:t>
      </w:r>
      <w:r w:rsidDel="00000000" w:rsidR="00000000" w:rsidRPr="00000000">
        <w:rPr>
          <w:b w:val="1"/>
          <w:bCs w:val="1"/>
          <w:rtl w:val="0"/>
        </w:rPr>
        <w:t xml:space="preserve">Analiza „So What?”: Bariery sukcesu</w:t>
      </w:r>
      <w:r w:rsidDel="00000000" w:rsidR="00000000" w:rsidRPr="00000000">
        <w:rPr>
          <w:rtl w:val="0"/>
        </w:rPr>
        <w:t xml:space="preserve">  Analiza wyników z 2026 r. pokazuje wyraźną dychotomię: uczniowie doskonale radzą sobie z algorytmami, takimi jak  </w:t>
      </w:r>
      <w:r w:rsidDel="00000000" w:rsidR="00000000" w:rsidRPr="00000000">
        <w:rPr>
          <w:b w:val="1"/>
          <w:bCs w:val="1"/>
          <w:rtl w:val="0"/>
        </w:rPr>
        <w:t xml:space="preserve">działania na potęgach</w:t>
      </w:r>
      <w:r w:rsidDel="00000000" w:rsidR="00000000" w:rsidRPr="00000000">
        <w:rPr>
          <w:rtl w:val="0"/>
        </w:rPr>
        <w:t xml:space="preserve"> , ale masowo tracą punkty na  </w:t>
      </w:r>
      <w:r w:rsidDel="00000000" w:rsidR="00000000" w:rsidRPr="00000000">
        <w:rPr>
          <w:b w:val="1"/>
          <w:bCs w:val="1"/>
          <w:rtl w:val="0"/>
        </w:rPr>
        <w:t xml:space="preserve">myśleniu abstrakcyjnym</w:t>
      </w:r>
      <w:r w:rsidDel="00000000" w:rsidR="00000000" w:rsidRPr="00000000">
        <w:rPr>
          <w:rtl w:val="0"/>
        </w:rPr>
        <w:t xml:space="preserve">  i  </w:t>
      </w:r>
      <w:r w:rsidDel="00000000" w:rsidR="00000000" w:rsidRPr="00000000">
        <w:rPr>
          <w:b w:val="1"/>
          <w:bCs w:val="1"/>
          <w:rtl w:val="0"/>
        </w:rPr>
        <w:t xml:space="preserve">łączeniu wiedzy z różnych działów</w:t>
      </w:r>
      <w:r w:rsidDel="00000000" w:rsidR="00000000" w:rsidRPr="00000000">
        <w:rPr>
          <w:rtl w:val="0"/>
        </w:rPr>
        <w:t xml:space="preserve"> . Wykluczenie z analizy matematycznej błędnych kategorii (jak „teksty kultury”) pozwala skupić się na realnym problemie: braku umiejętności łączenia algebry z geometrią. To tutaj rozstrzyga się walka o wynik powyżej 90%.</w:t>
      </w:r>
    </w:p>
    <w:p w:rsidR="00000000" w:rsidDel="00000000" w:rsidP="00000000" w:rsidRDefault="00000000" w:rsidRPr="00000000" w14:paraId="0000000D">
      <w:pPr>
        <w:pStyle w:val="Heading4"/>
        <w:rPr/>
      </w:pPr>
      <w:bookmarkStart w:colFirst="0" w:colLast="0" w:name="_opwc7fylam60" w:id="4"/>
      <w:bookmarkEnd w:id="4"/>
      <w:r w:rsidDel="00000000" w:rsidR="00000000" w:rsidRPr="00000000">
        <w:rPr>
          <w:rtl w:val="0"/>
        </w:rPr>
        <w:t xml:space="preserve">4. Szczegółowy Zakres Materiału i Działy Tematyczne</w:t>
      </w:r>
    </w:p>
    <w:p w:rsidR="00000000" w:rsidDel="00000000" w:rsidP="00000000" w:rsidRDefault="00000000" w:rsidRPr="00000000" w14:paraId="0000000E">
      <w:pPr>
        <w:rPr/>
      </w:pPr>
      <w:r w:rsidDel="00000000" w:rsidR="00000000" w:rsidRPr="00000000">
        <w:rPr>
          <w:rtl w:val="0"/>
        </w:rPr>
        <w:t xml:space="preserve">Struktura materiału na 2027 rok musi uwzględniać powrót zagadnień uznanych za kluczowe dla dalszej edukacji:</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Liczby i działania:</w:t>
      </w:r>
      <w:r w:rsidDel="00000000" w:rsidR="00000000" w:rsidRPr="00000000">
        <w:rPr>
          <w:rtl w:val="0"/>
        </w:rPr>
        <w:t xml:space="preserve">  Operacje na ułamkach, pierwiastkach i potęgach (dział opanowany statystycznie najlepiej, wymagający jedynie utrwalenia).</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Geometria (Priorytet trudności):</w:t>
      </w:r>
      <w:r w:rsidDel="00000000" w:rsidR="00000000" w:rsidRPr="00000000">
        <w:rPr>
          <w:rtl w:val="0"/>
        </w:rPr>
        <w:t xml:space="preserve">  Pełny powrót tematów usuniętych przed 2025 r., w tym  </w:t>
      </w:r>
      <w:r w:rsidDel="00000000" w:rsidR="00000000" w:rsidRPr="00000000">
        <w:rPr>
          <w:b w:val="1"/>
          <w:bCs w:val="1"/>
          <w:rtl w:val="0"/>
        </w:rPr>
        <w:t xml:space="preserve">geometria przestrzenna (bryły)</w:t>
      </w:r>
      <w:r w:rsidDel="00000000" w:rsidR="00000000" w:rsidRPr="00000000">
        <w:rPr>
          <w:rtl w:val="0"/>
        </w:rPr>
        <w:t xml:space="preserve">  oraz zaawansowane własności figur płaskich. To obszar generujący najwięcej zadań otwartych.</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Algebra i równania:</w:t>
      </w:r>
      <w:r w:rsidDel="00000000" w:rsidR="00000000" w:rsidRPr="00000000">
        <w:rPr>
          <w:rtl w:val="0"/>
        </w:rPr>
        <w:t xml:space="preserve">  Kładące nacisk na budowanie modeli do zadań z treścią.</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Statystyka i prawdopodobieństwo:</w:t>
      </w:r>
      <w:r w:rsidDel="00000000" w:rsidR="00000000" w:rsidRPr="00000000">
        <w:rPr>
          <w:rtl w:val="0"/>
        </w:rPr>
        <w:t xml:space="preserve">  Weryfikacja umiejętności przetwarzania danych i oceny szansy zdarzeń.</w:t>
      </w:r>
      <w:r w:rsidDel="00000000" w:rsidR="00000000" w:rsidRPr="00000000">
        <w:rPr>
          <w:b w:val="1"/>
          <w:bCs w:val="1"/>
          <w:rtl w:val="0"/>
        </w:rPr>
        <w:t xml:space="preserve">Analiza „So What?”: Strategia małych kroków</w:t>
      </w:r>
      <w:r w:rsidDel="00000000" w:rsidR="00000000" w:rsidRPr="00000000">
        <w:rPr>
          <w:rtl w:val="0"/>
        </w:rPr>
        <w:t xml:space="preserve">  Powrót trudniejszych zagadnień geometrycznych przy zwiększonej puli zadań otwartych oznacza, że autor repetytorium musi wdrożyć strategię „punktowania cząstkowego”. Uczeń słabszy musi zostać nauczony, jak zidentyfikować dane i rozpocząć dowód geometryczny, by „wyjąć” z zadania choć 1 punkt na 3 możliwe. Dla uczniów zdolnych priorytetem musi być płynne przechodzenie między tematami (np. wykorzystanie równań w zadaniach o bryłach).</w:t>
      </w:r>
    </w:p>
    <w:p w:rsidR="00000000" w:rsidDel="00000000" w:rsidP="00000000" w:rsidRDefault="00000000" w:rsidRPr="00000000" w14:paraId="00000013">
      <w:pPr>
        <w:pStyle w:val="Heading4"/>
        <w:rPr/>
      </w:pPr>
      <w:bookmarkStart w:colFirst="0" w:colLast="0" w:name="_uzmvuxei4z3l" w:id="5"/>
      <w:bookmarkEnd w:id="5"/>
      <w:r w:rsidDel="00000000" w:rsidR="00000000" w:rsidRPr="00000000">
        <w:rPr>
          <w:rtl w:val="0"/>
        </w:rPr>
        <w:t xml:space="preserve">5. Wytyczne Metodyczne dla Twórcy Repetytorium 2027</w:t>
      </w:r>
    </w:p>
    <w:p w:rsidR="00000000" w:rsidDel="00000000" w:rsidP="00000000" w:rsidRDefault="00000000" w:rsidRPr="00000000" w14:paraId="00000014">
      <w:pPr>
        <w:rPr/>
      </w:pPr>
      <w:r w:rsidDel="00000000" w:rsidR="00000000" w:rsidRPr="00000000">
        <w:rPr>
          <w:rtl w:val="0"/>
        </w:rPr>
        <w:t xml:space="preserve">Jako ekspert merytoryczny  </w:t>
      </w:r>
      <w:r w:rsidDel="00000000" w:rsidR="00000000" w:rsidRPr="00000000">
        <w:rPr>
          <w:b w:val="1"/>
          <w:bCs w:val="1"/>
          <w:rtl w:val="0"/>
        </w:rPr>
        <w:t xml:space="preserve">wymagam</w:t>
      </w:r>
      <w:r w:rsidDel="00000000" w:rsidR="00000000" w:rsidRPr="00000000">
        <w:rPr>
          <w:rtl w:val="0"/>
        </w:rPr>
        <w:t xml:space="preserve">  od autora publikacji wdrożenia następujących założeń strategicznych:</w:t>
      </w:r>
    </w:p>
    <w:p w:rsidR="00000000" w:rsidDel="00000000" w:rsidP="00000000" w:rsidRDefault="00000000" w:rsidRPr="00000000" w14:paraId="00000015">
      <w:pPr>
        <w:numPr>
          <w:ilvl w:val="0"/>
          <w:numId w:val="3"/>
        </w:numPr>
        <w:ind w:left="720" w:hanging="360"/>
        <w:rPr>
          <w:u w:val="none"/>
        </w:rPr>
      </w:pPr>
      <w:r w:rsidDel="00000000" w:rsidR="00000000" w:rsidRPr="00000000">
        <w:rPr>
          <w:b w:val="1"/>
          <w:bCs w:val="1"/>
          <w:rtl w:val="0"/>
        </w:rPr>
        <w:t xml:space="preserve">Mechanizm spiralny:</w:t>
      </w:r>
      <w:r w:rsidDel="00000000" w:rsidR="00000000" w:rsidRPr="00000000">
        <w:rPr>
          <w:rtl w:val="0"/>
        </w:rPr>
        <w:t xml:space="preserve">  Bezwzględne wdrażanie zadań łączących co najmniej dwa działy (np. algebra w kontekście geometrii). Nie wolno izolować tematów; uczeń musi ćwiczyć „wyrywkowe” przechodzenie między kompetencjami.</w:t>
      </w:r>
    </w:p>
    <w:p w:rsidR="00000000" w:rsidDel="00000000" w:rsidP="00000000" w:rsidRDefault="00000000" w:rsidRPr="00000000" w14:paraId="00000016">
      <w:pPr>
        <w:numPr>
          <w:ilvl w:val="0"/>
          <w:numId w:val="3"/>
        </w:numPr>
        <w:ind w:left="720" w:hanging="360"/>
        <w:rPr>
          <w:u w:val="none"/>
        </w:rPr>
      </w:pPr>
      <w:r w:rsidDel="00000000" w:rsidR="00000000" w:rsidRPr="00000000">
        <w:rPr>
          <w:b w:val="1"/>
          <w:bCs w:val="1"/>
          <w:rtl w:val="0"/>
        </w:rPr>
        <w:t xml:space="preserve">Mapy drogowe zadań otwartych:</w:t>
      </w:r>
      <w:r w:rsidDel="00000000" w:rsidR="00000000" w:rsidRPr="00000000">
        <w:rPr>
          <w:rtl w:val="0"/>
        </w:rPr>
        <w:t xml:space="preserve">  Każdy rozdział musi zawierać schematy pokazujące, za co przyznawane są punkty w zadaniach o wysokiej złożoności. Należy uczyć, jak uzyskać punkt za „sposób wykonania” mimo pomyłki w końcowych obliczeniach.</w:t>
      </w:r>
    </w:p>
    <w:p w:rsidR="00000000" w:rsidDel="00000000" w:rsidP="00000000" w:rsidRDefault="00000000" w:rsidRPr="00000000" w14:paraId="00000017">
      <w:pPr>
        <w:numPr>
          <w:ilvl w:val="0"/>
          <w:numId w:val="3"/>
        </w:numPr>
        <w:ind w:left="720" w:hanging="360"/>
        <w:rPr>
          <w:u w:val="none"/>
        </w:rPr>
      </w:pPr>
      <w:r w:rsidDel="00000000" w:rsidR="00000000" w:rsidRPr="00000000">
        <w:rPr>
          <w:b w:val="1"/>
          <w:bCs w:val="1"/>
          <w:rtl w:val="0"/>
        </w:rPr>
        <w:t xml:space="preserve">Moduł „Zadania z tezą”:</w:t>
      </w:r>
      <w:r w:rsidDel="00000000" w:rsidR="00000000" w:rsidRPr="00000000">
        <w:rPr>
          <w:rtl w:val="0"/>
        </w:rPr>
        <w:t xml:space="preserve">  Wyodrębnienie osobnego bloku zadań na dowodzenie i argumentację („wykaż”, „uzasadnij”). To tutaj decyduje się los 13,6% najlepszych uczniów.</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Zarządzanie czasem (Stress-test):</w:t>
      </w:r>
      <w:r w:rsidDel="00000000" w:rsidR="00000000" w:rsidRPr="00000000">
        <w:rPr>
          <w:rtl w:val="0"/>
        </w:rPr>
        <w:t xml:space="preserve">  Wprowadzenie sekcji uczącej priorytetyzacji zadań. 110 minut to czas skrajnie krótki na 6 zadań otwartych; uczeń musi wiedzieć, które zadania „atakować” najpierw.</w:t>
      </w:r>
    </w:p>
    <w:p w:rsidR="00000000" w:rsidDel="00000000" w:rsidP="00000000" w:rsidRDefault="00000000" w:rsidRPr="00000000" w14:paraId="00000019">
      <w:pPr>
        <w:numPr>
          <w:ilvl w:val="0"/>
          <w:numId w:val="3"/>
        </w:numPr>
        <w:ind w:left="720" w:hanging="360"/>
        <w:rPr>
          <w:u w:val="none"/>
        </w:rPr>
      </w:pPr>
      <w:r w:rsidDel="00000000" w:rsidR="00000000" w:rsidRPr="00000000">
        <w:rPr>
          <w:b w:val="1"/>
          <w:bCs w:val="1"/>
          <w:rtl w:val="0"/>
        </w:rPr>
        <w:t xml:space="preserve">Inkluzja i dostosowania:</w:t>
      </w:r>
      <w:r w:rsidDel="00000000" w:rsidR="00000000" w:rsidRPr="00000000">
        <w:rPr>
          <w:rtl w:val="0"/>
        </w:rPr>
        <w:t xml:space="preserve">  Instrukcje muszą uwzględniać specyfikę uczniów z trudnościami (ok. 36,5 tys. zdających w 2026 r. korzystało z arkuszy dostosowanych), oferując alternatywne metody wizualizacji problemów.</w:t>
      </w:r>
      <w:r w:rsidDel="00000000" w:rsidR="00000000" w:rsidRPr="00000000">
        <w:rPr>
          <w:b w:val="1"/>
          <w:bCs w:val="1"/>
          <w:rtl w:val="0"/>
        </w:rPr>
        <w:t xml:space="preserve">Konkluzja</w:t>
      </w:r>
      <w:r w:rsidDel="00000000" w:rsidR="00000000" w:rsidRPr="00000000">
        <w:rPr>
          <w:rtl w:val="0"/>
        </w:rPr>
        <w:t xml:space="preserve">  Osiągnięcie wyniku powyżej 90% na egzaminie w maju 2027 roku wymaga porzucenia nauki czysto algorytmicznej. Repetytorium musi stać się narzędziem kształtującym holistyczne spojrzenie na matematykę, gdzie precyzja zapisu i umiejętność zarządzania ograniczonym czasem są równie ważne jak poprawność rachunkowa. Sukces w 2027 roku zależy od synergii sprawności technicznej z odwagą w podejmowaniu złożonych zadań otwartych.</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