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JM"/>
        </w:rPr>
        <w:t>A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ccess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through a web browser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Clear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, logical navigation structure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Multi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-company, multi-division and inter-company support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Inter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-related Modules (Copyright, Licensing &amp; Royalty Processing) that share common data to minimize duplication of efforts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Built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-in document view and retrieval of scanned documents to provide quick access to contracts, correspondence, income statements and </w:t>
      </w:r>
      <w:proofErr w:type="spellStart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Convenient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copy functions to enable faster data entry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Automatic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inter-company transfers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Advanced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income tracking </w:t>
      </w:r>
    </w:p>
    <w:p w:rsidR="00C00804" w:rsidRDefault="00C00804" w:rsidP="007F43F1">
      <w:pPr>
        <w:rPr>
          <w:rFonts w:ascii="Times New Roman" w:eastAsia="Times New Roman" w:hAnsi="Symbol" w:cs="Times New Roman"/>
          <w:sz w:val="24"/>
          <w:szCs w:val="24"/>
          <w:lang w:eastAsia="en-JM"/>
        </w:rPr>
      </w:pPr>
    </w:p>
    <w:p w:rsidR="007F43F1" w:rsidRPr="007F43F1" w:rsidRDefault="007F43F1" w:rsidP="007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Copyright Module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users to document and manage the intellectual property of songwriters and the owning or administering publishers. Among the Copyright Module’s features: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No restrictions limiting the number of song titles to be supported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Multiple user-defined categories for classification and easy lookup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Unlimited number of writers and publishers per song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capture and maintain publisher’s share and controlling interest by territory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Copyright registration and claimant management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Sub-publisher agreements and links on title level to display controlled territories and percent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The maintenance of writers’ contracts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ability to export </w:t>
      </w:r>
      <w:proofErr w:type="spellStart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catalog</w:t>
      </w:r>
      <w:proofErr w:type="spell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files for sub-publishers 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Links to MP3 files for song review</w:t>
      </w:r>
    </w:p>
    <w:p w:rsidR="007F43F1" w:rsidRPr="007F43F1" w:rsidRDefault="007F43F1" w:rsidP="007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The Quote &amp; Licensing Module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the user to document licensing requests, provide quotes, and generate mechanical and sync licenses and contracts. Extensive search criteria and reporting options facilitate pitching and analysis. The Quote &amp; Licensing Module allows users to: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Easily pitch songs by utilizing the extensive search options that are available for categorizing and classifying intellectual property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Utilize license entry forms specifically designed to capture information and display data specific to the type of license such as mechanical, sync and merchandise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Easily convert quotes into licenses and minimize repetitive, double entries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Generate contracts by merging license information into user-defined Microsoft Word® templates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Record and manage sync license options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Review and manage activation or expiring status of license options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Track account executive productivity by logging quotes and licenses issued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Quickly import mechanical licenses issued by HFA and CMRRA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Interface with income statement process by linking the license to the income statement, thus providing immediate recognition of income received and facilitating payment tracking</w:t>
      </w:r>
    </w:p>
    <w:p w:rsid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lastRenderedPageBreak/>
        <w:t>Track license and licensee activity through comprehensive reports that value licenses and identify monies due</w:t>
      </w:r>
    </w:p>
    <w:p w:rsidR="00FB3E5D" w:rsidRPr="00FB3E5D" w:rsidRDefault="00FB3E5D" w:rsidP="00FB3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The Royalty Processing Module</w:t>
      </w: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the publisher to process royalty income, calculate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earnings and distribute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 and payments. Core’s Royalty Processing Module is fully interfaced with the Copyright and Licensing Modules and provides: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Automatic reconciliation of cash receipts and income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User-defined royalty distribution cycles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An upload mechanism for importing income statements and bank deposits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Foreign currency conversion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calculate and capture foreign income tax, commissions and miscellaneous charges at line item detail level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option to process income at source or net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capability of processing micro-penny income statements and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payout calculations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post income statements to current and future accounting periods simultaneously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Easy correction and reprocessing of income statements by reopening statements within an open period or reversing statements after a period has been closed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create rates based on territory and income groups or for specific territories and income types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Real-time assessment of royalty payable with 100% payout verification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 utility to create pro-rata income statements based on previous earnings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categorization of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groups to organize and facilitate the processing of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Summary and detail statement formats for printing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issue checks from within Core or, if interfaced with an accounting system such as Dynamics AX or Great Plains, generate a voucher request and report back the payment transaction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1099 and 1042 reporting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Management reports for income analysis, pipeline projections and income trends</w:t>
      </w:r>
    </w:p>
    <w:p w:rsidR="00FB3E5D" w:rsidRPr="007F43F1" w:rsidRDefault="00FB3E5D" w:rsidP="00FB3E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F43F1" w:rsidRDefault="007F43F1" w:rsidP="007F43F1"/>
    <w:sectPr w:rsidR="007F43F1" w:rsidSect="00C0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222E1"/>
    <w:multiLevelType w:val="multilevel"/>
    <w:tmpl w:val="016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7393E"/>
    <w:multiLevelType w:val="multilevel"/>
    <w:tmpl w:val="5DB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81F9A"/>
    <w:multiLevelType w:val="multilevel"/>
    <w:tmpl w:val="FE4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43F1"/>
    <w:rsid w:val="007F43F1"/>
    <w:rsid w:val="00C00804"/>
    <w:rsid w:val="00FB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styleId="Strong">
    <w:name w:val="Strong"/>
    <w:basedOn w:val="DefaultParagraphFont"/>
    <w:uiPriority w:val="22"/>
    <w:qFormat/>
    <w:rsid w:val="007F43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waltersdw</dc:creator>
  <cp:keywords/>
  <dc:description/>
  <cp:lastModifiedBy>waltersdw</cp:lastModifiedBy>
  <cp:revision>4</cp:revision>
  <dcterms:created xsi:type="dcterms:W3CDTF">2015-01-12T20:41:00Z</dcterms:created>
  <dcterms:modified xsi:type="dcterms:W3CDTF">2015-01-12T20:53:00Z</dcterms:modified>
</cp:coreProperties>
</file>