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pPr>
      <w:r>
        <w:t xml:space="preserve">Reglamento Interno del Personal</w:t>
      </w:r>
    </w:p>
    <w:p>
      <w:pPr>
        <w:pStyle w:val="Heading2"/>
        <w:spacing w:after="300"/>
      </w:pPr>
      <w:r>
        <w:t xml:space="preserve">Restaurante Delicioso</w:t>
      </w:r>
    </w:p>
    <w:p>
      <w:pPr>
        <w:spacing w:after="120"/>
      </w:pPr>
      <w:r>
        <w:t xml:space="preserve">Versión: 1.0 | Fecha de emisión: 21 de julio de 2026 | Aplica a todo el personal del local</w:t>
      </w:r>
    </w:p>
    <w:p>
      <w:pPr>
        <w:pStyle w:val="Heading1"/>
        <w:spacing w:after="150" w:before="300"/>
      </w:pPr>
      <w:r>
        <w:t xml:space="preserve">1. Presentación</w:t>
      </w:r>
    </w:p>
    <w:p>
      <w:pPr>
        <w:spacing w:after="120"/>
      </w:pPr>
      <w:r>
        <w:t xml:space="preserve">Este reglamento establece las normas de conducta, higiene, seguridad alimentaria y procedimientos operativos que debe seguir todo colaborador de Restaurante Delicioso, desde el personal de cocina hasta el de sala y delivery. Su cumplimiento protege al colaborador, a sus compañeros y a nuestros comensales.</w:t>
      </w:r>
    </w:p>
    <w:p>
      <w:pPr>
        <w:pStyle w:val="Heading1"/>
        <w:spacing w:after="150" w:before="300"/>
      </w:pPr>
      <w:r>
        <w:t xml:space="preserve">2. Estructura organizacional</w:t>
      </w:r>
    </w:p>
    <w:p>
      <w:pPr>
        <w:spacing w:after="120"/>
      </w:pPr>
      <w:r>
        <w:t xml:space="preserve">Administrador General → Chef Ejecutivo / Jefe de Sala → Cocineros y Ayudantes de Cocina / Mozos y Cajeros → Personal de Limpieza y Repartidores.</w:t>
      </w:r>
    </w:p>
    <w:p>
      <w:pPr>
        <w:spacing w:after="120"/>
      </w:pPr>
      <w:r>
        <w:t xml:space="preserve">El Administrador General es responsable de la operación integral del local. El Chef Ejecutivo responde por la cocina, calidad de los platos e higiene alimentaria. El Jefe de Sala coordina la atención al cliente y el equipo de mozos.</w:t>
      </w:r>
    </w:p>
    <w:p>
      <w:pPr>
        <w:pStyle w:val="Heading1"/>
        <w:spacing w:after="150" w:before="300"/>
      </w:pPr>
      <w:r>
        <w:t xml:space="preserve">3. Turnos y horarios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800"/>
        <w:gridCol w:w="3400"/>
        <w:gridCol w:w="2800"/>
      </w:tblGrid>
      <w:tr>
        <w:tc>
          <w:tcPr>
            <w:tcW w:type="dxa" w:w="2800"/>
            <w:shd w:fill="2E5E3E" w:val="clear"/>
          </w:tcPr>
          <w:p>
            <w:r>
              <w:rPr>
                <w:b/>
                <w:bCs/>
                <w:color w:val="FFFFFF"/>
                <w:sz w:val="20"/>
                <w:szCs w:val="20"/>
              </w:rPr>
              <w:t xml:space="preserve">Turno</w:t>
            </w:r>
          </w:p>
        </w:tc>
        <w:tc>
          <w:tcPr>
            <w:tcW w:type="dxa" w:w="3400"/>
            <w:shd w:fill="2E5E3E" w:val="clear"/>
          </w:tcPr>
          <w:p>
            <w:r>
              <w:rPr>
                <w:b/>
                <w:bCs/>
                <w:color w:val="FFFFFF"/>
                <w:sz w:val="20"/>
                <w:szCs w:val="20"/>
              </w:rPr>
              <w:t xml:space="preserve">Horario</w:t>
            </w:r>
          </w:p>
        </w:tc>
        <w:tc>
          <w:tcPr>
            <w:tcW w:type="dxa" w:w="2800"/>
            <w:shd w:fill="2E5E3E" w:val="clear"/>
          </w:tcPr>
          <w:p>
            <w:r>
              <w:rPr>
                <w:b/>
                <w:bCs/>
                <w:color w:val="FFFFFF"/>
                <w:sz w:val="20"/>
                <w:szCs w:val="20"/>
              </w:rPr>
              <w:t xml:space="preserve">Área prioritaria</w:t>
            </w:r>
          </w:p>
        </w:tc>
      </w:tr>
      <w:tr>
        <w:tc>
          <w:tcPr>
            <w:tcW w:type="dxa" w:w="2800"/>
          </w:tcPr>
          <w:p>
            <w:r>
              <w:rPr>
                <w:b w:val="false"/>
                <w:bCs w:val="false"/>
                <w:sz w:val="20"/>
                <w:szCs w:val="20"/>
              </w:rPr>
              <w:t xml:space="preserve">Mañana / Mise en place</w:t>
            </w:r>
          </w:p>
        </w:tc>
        <w:tc>
          <w:tcPr>
            <w:tcW w:type="dxa" w:w="3400"/>
          </w:tcPr>
          <w:p>
            <w:r>
              <w:rPr>
                <w:b w:val="false"/>
                <w:bCs w:val="false"/>
                <w:sz w:val="20"/>
                <w:szCs w:val="20"/>
              </w:rPr>
              <w:t xml:space="preserve">9:00 a. m. – 1:00 p. m.</w:t>
            </w:r>
          </w:p>
        </w:tc>
        <w:tc>
          <w:tcPr>
            <w:tcW w:type="dxa" w:w="2800"/>
          </w:tcPr>
          <w:p>
            <w:r>
              <w:rPr>
                <w:b w:val="false"/>
                <w:bCs w:val="false"/>
                <w:sz w:val="20"/>
                <w:szCs w:val="20"/>
              </w:rPr>
              <w:t xml:space="preserve">Preparación de insumos, recepción de mercadería</w:t>
            </w:r>
          </w:p>
        </w:tc>
      </w:tr>
      <w:tr>
        <w:tc>
          <w:tcPr>
            <w:tcW w:type="dxa" w:w="2800"/>
          </w:tcPr>
          <w:p>
            <w:r>
              <w:rPr>
                <w:b w:val="false"/>
                <w:bCs w:val="false"/>
                <w:sz w:val="20"/>
                <w:szCs w:val="20"/>
              </w:rPr>
              <w:t xml:space="preserve">Almuerzo</w:t>
            </w:r>
          </w:p>
        </w:tc>
        <w:tc>
          <w:tcPr>
            <w:tcW w:type="dxa" w:w="3400"/>
          </w:tcPr>
          <w:p>
            <w:r>
              <w:rPr>
                <w:b w:val="false"/>
                <w:bCs w:val="false"/>
                <w:sz w:val="20"/>
                <w:szCs w:val="20"/>
              </w:rPr>
              <w:t xml:space="preserve">12:00 p. m. – 4:00 p. m.</w:t>
            </w:r>
          </w:p>
        </w:tc>
        <w:tc>
          <w:tcPr>
            <w:tcW w:type="dxa" w:w="2800"/>
          </w:tcPr>
          <w:p>
            <w:r>
              <w:rPr>
                <w:b w:val="false"/>
                <w:bCs w:val="false"/>
                <w:sz w:val="20"/>
                <w:szCs w:val="20"/>
              </w:rPr>
              <w:t xml:space="preserve">Cocina y sala, servicio completo</w:t>
            </w:r>
          </w:p>
        </w:tc>
      </w:tr>
      <w:tr>
        <w:tc>
          <w:tcPr>
            <w:tcW w:type="dxa" w:w="2800"/>
          </w:tcPr>
          <w:p>
            <w:r>
              <w:rPr>
                <w:b w:val="false"/>
                <w:bCs w:val="false"/>
                <w:sz w:val="20"/>
                <w:szCs w:val="20"/>
              </w:rPr>
              <w:t xml:space="preserve">Tarde / Preparación cena</w:t>
            </w:r>
          </w:p>
        </w:tc>
        <w:tc>
          <w:tcPr>
            <w:tcW w:type="dxa" w:w="3400"/>
          </w:tcPr>
          <w:p>
            <w:r>
              <w:rPr>
                <w:b w:val="false"/>
                <w:bCs w:val="false"/>
                <w:sz w:val="20"/>
                <w:szCs w:val="20"/>
              </w:rPr>
              <w:t xml:space="preserve">4:00 p. m. – 6:30 p. m.</w:t>
            </w:r>
          </w:p>
        </w:tc>
        <w:tc>
          <w:tcPr>
            <w:tcW w:type="dxa" w:w="2800"/>
          </w:tcPr>
          <w:p>
            <w:r>
              <w:rPr>
                <w:b w:val="false"/>
                <w:bCs w:val="false"/>
                <w:sz w:val="20"/>
                <w:szCs w:val="20"/>
              </w:rPr>
              <w:t xml:space="preserve">Mise en place para la cena</w:t>
            </w:r>
          </w:p>
        </w:tc>
      </w:tr>
      <w:tr>
        <w:tc>
          <w:tcPr>
            <w:tcW w:type="dxa" w:w="2800"/>
          </w:tcPr>
          <w:p>
            <w:r>
              <w:rPr>
                <w:b w:val="false"/>
                <w:bCs w:val="false"/>
                <w:sz w:val="20"/>
                <w:szCs w:val="20"/>
              </w:rPr>
              <w:t xml:space="preserve">Cena</w:t>
            </w:r>
          </w:p>
        </w:tc>
        <w:tc>
          <w:tcPr>
            <w:tcW w:type="dxa" w:w="3400"/>
          </w:tcPr>
          <w:p>
            <w:r>
              <w:rPr>
                <w:b w:val="false"/>
                <w:bCs w:val="false"/>
                <w:sz w:val="20"/>
                <w:szCs w:val="20"/>
              </w:rPr>
              <w:t xml:space="preserve">6:30 p. m. – 10:30 p. m.</w:t>
            </w:r>
          </w:p>
        </w:tc>
        <w:tc>
          <w:tcPr>
            <w:tcW w:type="dxa" w:w="2800"/>
          </w:tcPr>
          <w:p>
            <w:r>
              <w:rPr>
                <w:b w:val="false"/>
                <w:bCs w:val="false"/>
                <w:sz w:val="20"/>
                <w:szCs w:val="20"/>
              </w:rPr>
              <w:t xml:space="preserve">Cocina y sala, servicio completo, cierre</w:t>
            </w:r>
          </w:p>
        </w:tc>
      </w:tr>
    </w:tbl>
    <w:p>
      <w:pPr>
        <w:spacing w:after="120"/>
      </w:pPr>
      <w:r>
        <w:t xml:space="preserve">Tolerancia máxima de 10 minutos sobre la hora de ingreso. El tercer tardanza en 30 días naturales se considera falta injustificada para efectos disciplinarios. El registro de asistencia se realiza mediante huella digital en el módulo de personal.</w:t>
      </w:r>
    </w:p>
    <w:p>
      <w:pPr>
        <w:pStyle w:val="Heading1"/>
        <w:spacing w:after="150" w:before="300"/>
      </w:pPr>
      <w:r>
        <w:t xml:space="preserve">4. Código de conducta</w:t>
      </w:r>
    </w:p>
    <w:p>
      <w:pPr>
        <w:pStyle w:val="ListParagraph"/>
        <w:numPr>
          <w:ilvl w:val="0"/>
          <w:numId w:val="1"/>
        </w:numPr>
        <w:spacing w:after="60"/>
      </w:pPr>
      <w:r>
        <w:t xml:space="preserve">Saludo obligatorio al cliente al recibirlo: "Bienvenido a Delicioso, ¿mesa para cuántas personas?"</w:t>
      </w:r>
    </w:p>
    <w:p>
      <w:pPr>
        <w:pStyle w:val="ListParagraph"/>
        <w:numPr>
          <w:ilvl w:val="0"/>
          <w:numId w:val="1"/>
        </w:numPr>
        <w:spacing w:after="60"/>
      </w:pPr>
      <w:r>
        <w:t xml:space="preserve">Prohibido el uso del celular personal durante el turno activo, salvo en el horario de descanso.</w:t>
      </w:r>
    </w:p>
    <w:p>
      <w:pPr>
        <w:pStyle w:val="ListParagraph"/>
        <w:numPr>
          <w:ilvl w:val="0"/>
          <w:numId w:val="1"/>
        </w:numPr>
        <w:spacing w:after="60"/>
      </w:pPr>
      <w:r>
        <w:t xml:space="preserve">Prohibido fumar dentro del local, incluyendo cocina y almacenes.</w:t>
      </w:r>
    </w:p>
    <w:p>
      <w:pPr>
        <w:pStyle w:val="ListParagraph"/>
        <w:numPr>
          <w:ilvl w:val="0"/>
          <w:numId w:val="1"/>
        </w:numPr>
        <w:spacing w:after="60"/>
      </w:pPr>
      <w:r>
        <w:t xml:space="preserve">Tono de voz moderado y trato respetuoso en todo momento, incluso ante clientes exigentes.</w:t>
      </w:r>
    </w:p>
    <w:p>
      <w:pPr>
        <w:pStyle w:val="ListParagraph"/>
        <w:numPr>
          <w:ilvl w:val="0"/>
          <w:numId w:val="1"/>
        </w:numPr>
        <w:spacing w:after="60"/>
      </w:pPr>
      <w:r>
        <w:t xml:space="preserve">El uniforme debe estar limpio y completo: para cocina, filipina blanca, mandil, cofia y zapato antideslizante cerrado; para sala, camisa institucional negra, mandil y zapato cerrado.</w:t>
      </w:r>
    </w:p>
    <w:p>
      <w:pPr>
        <w:pStyle w:val="Heading1"/>
        <w:spacing w:after="150" w:before="300"/>
      </w:pPr>
      <w:r>
        <w:t xml:space="preserve">5. Higiene y seguridad alimentaria</w:t>
      </w:r>
    </w:p>
    <w:p>
      <w:pPr>
        <w:pStyle w:val="Heading2"/>
        <w:spacing w:after="100" w:before="200"/>
      </w:pPr>
      <w:r>
        <w:t xml:space="preserve">5.1 Higiene personal</w:t>
      </w:r>
    </w:p>
    <w:p>
      <w:pPr>
        <w:pStyle w:val="ListParagraph"/>
        <w:numPr>
          <w:ilvl w:val="0"/>
          <w:numId w:val="1"/>
        </w:numPr>
        <w:spacing w:after="60"/>
      </w:pPr>
      <w:r>
        <w:t xml:space="preserve">Lavado de manos obligatorio al ingresar a cocina, después de manipular alimentos crudos, y cada vez que se cambie de tarea.</w:t>
      </w:r>
    </w:p>
    <w:p>
      <w:pPr>
        <w:pStyle w:val="ListParagraph"/>
        <w:numPr>
          <w:ilvl w:val="0"/>
          <w:numId w:val="1"/>
        </w:numPr>
        <w:spacing w:after="60"/>
      </w:pPr>
      <w:r>
        <w:t xml:space="preserve">Uñas cortas y sin esmalte para todo el personal de cocina; prohibido el uso de anillos, pulseras y relojes en área de preparación.</w:t>
      </w:r>
    </w:p>
    <w:p>
      <w:pPr>
        <w:pStyle w:val="ListParagraph"/>
        <w:numPr>
          <w:ilvl w:val="0"/>
          <w:numId w:val="1"/>
        </w:numPr>
        <w:spacing w:after="60"/>
      </w:pPr>
      <w:r>
        <w:t xml:space="preserve">Cualquier herida en manos debe cubrirse con guante y reportarse al Chef Ejecutivo antes de iniciar el turno.</w:t>
      </w:r>
    </w:p>
    <w:p>
      <w:pPr>
        <w:pStyle w:val="Heading2"/>
        <w:spacing w:after="100" w:before="200"/>
      </w:pPr>
      <w:r>
        <w:t xml:space="preserve">5.2 Cadena de frío y control de vencimientos</w:t>
      </w:r>
    </w:p>
    <w:p>
      <w:pPr>
        <w:spacing w:after="120"/>
      </w:pPr>
      <w:r>
        <w:t xml:space="preserve">Las cámaras de refrigeración deben mantenerse entre 0°C y 4°C, y el congelador a -18°C o menos. La temperatura se registra cada 4 horas en la bitácora de cocina. Todo insumo sigue el sistema PEPS (Primeras Entradas, Primeras Salidas): el insumo más antiguo se usa primero.</w:t>
      </w:r>
    </w:p>
    <w:p>
      <w:pPr>
        <w:pStyle w:val="Heading2"/>
        <w:spacing w:after="100" w:before="200"/>
      </w:pPr>
      <w:r>
        <w:t xml:space="preserve">5.3 Semáforo de vencimientos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600"/>
      </w:tblGrid>
      <w:tr>
        <w:tc>
          <w:tcPr>
            <w:tcW w:type="dxa" w:w="2200"/>
            <w:shd w:fill="2E5E3E" w:val="clear"/>
          </w:tcPr>
          <w:p>
            <w:r>
              <w:rPr>
                <w:b/>
                <w:bCs/>
                <w:color w:val="FFFFFF"/>
                <w:sz w:val="20"/>
                <w:szCs w:val="20"/>
              </w:rPr>
              <w:t xml:space="preserve">Estado</w:t>
            </w:r>
          </w:p>
        </w:tc>
        <w:tc>
          <w:tcPr>
            <w:tcW w:type="dxa" w:w="3200"/>
            <w:shd w:fill="2E5E3E" w:val="clear"/>
          </w:tcPr>
          <w:p>
            <w:r>
              <w:rPr>
                <w:b/>
                <w:bCs/>
                <w:color w:val="FFFFFF"/>
                <w:sz w:val="20"/>
                <w:szCs w:val="20"/>
              </w:rPr>
              <w:t xml:space="preserve">Días restantes</w:t>
            </w:r>
          </w:p>
        </w:tc>
        <w:tc>
          <w:tcPr>
            <w:tcW w:type="dxa" w:w="3600"/>
            <w:shd w:fill="2E5E3E" w:val="clear"/>
          </w:tcPr>
          <w:p>
            <w:r>
              <w:rPr>
                <w:b/>
                <w:bCs/>
                <w:color w:val="FFFFFF"/>
                <w:sz w:val="20"/>
                <w:szCs w:val="20"/>
              </w:rPr>
              <w:t xml:space="preserve">Acción</w:t>
            </w:r>
          </w:p>
        </w:tc>
      </w:tr>
      <w:tr>
        <w:tc>
          <w:tcPr>
            <w:tcW w:type="dxa" w:w="2200"/>
          </w:tcPr>
          <w:p>
            <w:r>
              <w:rPr>
                <w:b w:val="false"/>
                <w:bCs w:val="false"/>
                <w:sz w:val="20"/>
                <w:szCs w:val="20"/>
              </w:rPr>
              <w:t xml:space="preserve">Verde</w:t>
            </w:r>
          </w:p>
        </w:tc>
        <w:tc>
          <w:tcPr>
            <w:tcW w:type="dxa" w:w="3200"/>
          </w:tcPr>
          <w:p>
            <w:r>
              <w:rPr>
                <w:b w:val="false"/>
                <w:bCs w:val="false"/>
                <w:sz w:val="20"/>
                <w:szCs w:val="20"/>
              </w:rPr>
              <w:t xml:space="preserve">Más de 5 días</w:t>
            </w:r>
          </w:p>
        </w:tc>
        <w:tc>
          <w:tcPr>
            <w:tcW w:type="dxa" w:w="3600"/>
          </w:tcPr>
          <w:p>
            <w:r>
              <w:rPr>
                <w:b w:val="false"/>
                <w:bCs w:val="false"/>
                <w:sz w:val="20"/>
                <w:szCs w:val="20"/>
              </w:rPr>
              <w:t xml:space="preserve">Uso normal</w:t>
            </w:r>
          </w:p>
        </w:tc>
      </w:tr>
      <w:tr>
        <w:tc>
          <w:tcPr>
            <w:tcW w:type="dxa" w:w="2200"/>
          </w:tcPr>
          <w:p>
            <w:r>
              <w:rPr>
                <w:b w:val="false"/>
                <w:bCs w:val="false"/>
                <w:sz w:val="20"/>
                <w:szCs w:val="20"/>
              </w:rPr>
              <w:t xml:space="preserve">Amarillo</w:t>
            </w:r>
          </w:p>
        </w:tc>
        <w:tc>
          <w:tcPr>
            <w:tcW w:type="dxa" w:w="3200"/>
          </w:tcPr>
          <w:p>
            <w:r>
              <w:rPr>
                <w:b w:val="false"/>
                <w:bCs w:val="false"/>
                <w:sz w:val="20"/>
                <w:szCs w:val="20"/>
              </w:rPr>
              <w:t xml:space="preserve">2 a 5 días</w:t>
            </w:r>
          </w:p>
        </w:tc>
        <w:tc>
          <w:tcPr>
            <w:tcW w:type="dxa" w:w="3600"/>
          </w:tcPr>
          <w:p>
            <w:r>
              <w:rPr>
                <w:b w:val="false"/>
                <w:bCs w:val="false"/>
                <w:sz w:val="20"/>
                <w:szCs w:val="20"/>
              </w:rPr>
              <w:t xml:space="preserve">Priorizar su uso en el menú del día</w:t>
            </w:r>
          </w:p>
        </w:tc>
      </w:tr>
      <w:tr>
        <w:tc>
          <w:tcPr>
            <w:tcW w:type="dxa" w:w="2200"/>
          </w:tcPr>
          <w:p>
            <w:r>
              <w:rPr>
                <w:b w:val="false"/>
                <w:bCs w:val="false"/>
                <w:sz w:val="20"/>
                <w:szCs w:val="20"/>
              </w:rPr>
              <w:t xml:space="preserve">Rojo</w:t>
            </w:r>
          </w:p>
        </w:tc>
        <w:tc>
          <w:tcPr>
            <w:tcW w:type="dxa" w:w="3200"/>
          </w:tcPr>
          <w:p>
            <w:r>
              <w:rPr>
                <w:b w:val="false"/>
                <w:bCs w:val="false"/>
                <w:sz w:val="20"/>
                <w:szCs w:val="20"/>
              </w:rPr>
              <w:t xml:space="preserve">Menos de 2 días o vencido</w:t>
            </w:r>
          </w:p>
        </w:tc>
        <w:tc>
          <w:tcPr>
            <w:tcW w:type="dxa" w:w="3600"/>
          </w:tcPr>
          <w:p>
            <w:r>
              <w:rPr>
                <w:b w:val="false"/>
                <w:bCs w:val="false"/>
                <w:sz w:val="20"/>
                <w:szCs w:val="20"/>
              </w:rPr>
              <w:t xml:space="preserve">Retiro inmediato, no se usa, se registra como merma</w:t>
            </w:r>
          </w:p>
        </w:tc>
      </w:tr>
    </w:tbl>
    <w:p>
      <w:pPr>
        <w:pStyle w:val="Heading1"/>
        <w:spacing w:after="150" w:before="300"/>
      </w:pPr>
      <w:r>
        <w:t xml:space="preserve">6. Procedimientos de apertura y cierre</w:t>
      </w:r>
    </w:p>
    <w:p>
      <w:pPr>
        <w:pStyle w:val="Heading2"/>
        <w:spacing w:after="100" w:before="200"/>
      </w:pPr>
      <w:r>
        <w:t xml:space="preserve">6.1 Apertura (9:00 a. m.)</w:t>
      </w:r>
    </w:p>
    <w:p>
      <w:pPr>
        <w:pStyle w:val="ListParagraph"/>
        <w:numPr>
          <w:ilvl w:val="0"/>
          <w:numId w:val="1"/>
        </w:numPr>
        <w:spacing w:after="60"/>
      </w:pPr>
      <w:r>
        <w:t xml:space="preserve">Encendido de cámaras de frío y verificación de temperatura.</w:t>
      </w:r>
    </w:p>
    <w:p>
      <w:pPr>
        <w:pStyle w:val="ListParagraph"/>
        <w:numPr>
          <w:ilvl w:val="0"/>
          <w:numId w:val="1"/>
        </w:numPr>
        <w:spacing w:after="60"/>
      </w:pPr>
      <w:r>
        <w:t xml:space="preserve">Revisión de insumos recibidos contra la orden de compra del día.</w:t>
      </w:r>
    </w:p>
    <w:p>
      <w:pPr>
        <w:pStyle w:val="ListParagraph"/>
        <w:numPr>
          <w:ilvl w:val="0"/>
          <w:numId w:val="1"/>
        </w:numPr>
        <w:spacing w:after="60"/>
      </w:pPr>
      <w:r>
        <w:t xml:space="preserve">Verificación de limpieza de cocina y sala del cierre anterior.</w:t>
      </w:r>
    </w:p>
    <w:p>
      <w:pPr>
        <w:pStyle w:val="ListParagraph"/>
        <w:numPr>
          <w:ilvl w:val="0"/>
          <w:numId w:val="1"/>
        </w:numPr>
        <w:spacing w:after="60"/>
      </w:pPr>
      <w:r>
        <w:t xml:space="preserve">Encendido del sistema de punto de venta (POS) y conteo del fondo de caja.</w:t>
      </w:r>
    </w:p>
    <w:p>
      <w:pPr>
        <w:pStyle w:val="Heading2"/>
        <w:spacing w:after="100" w:before="200"/>
      </w:pPr>
      <w:r>
        <w:t xml:space="preserve">6.2 Cierre (10:30 p. m. – 11:00 p. m.)</w:t>
      </w:r>
    </w:p>
    <w:p>
      <w:pPr>
        <w:pStyle w:val="ListParagraph"/>
        <w:numPr>
          <w:ilvl w:val="0"/>
          <w:numId w:val="1"/>
        </w:numPr>
        <w:spacing w:after="60"/>
      </w:pPr>
      <w:r>
        <w:t xml:space="preserve">Arqueo de caja: el efectivo contado debe coincidir con el reporte del POS.</w:t>
      </w:r>
    </w:p>
    <w:p>
      <w:pPr>
        <w:pStyle w:val="ListParagraph"/>
        <w:numPr>
          <w:ilvl w:val="0"/>
          <w:numId w:val="1"/>
        </w:numPr>
        <w:spacing w:after="60"/>
      </w:pPr>
      <w:r>
        <w:t xml:space="preserve">Revisión de temperaturas de cámaras y registro en bitácora.</w:t>
      </w:r>
    </w:p>
    <w:p>
      <w:pPr>
        <w:pStyle w:val="ListParagraph"/>
        <w:numPr>
          <w:ilvl w:val="0"/>
          <w:numId w:val="1"/>
        </w:numPr>
        <w:spacing w:after="60"/>
      </w:pPr>
      <w:r>
        <w:t xml:space="preserve">Limpieza profunda de superficies de cocina, campana extractora y pisos.</w:t>
      </w:r>
    </w:p>
    <w:p>
      <w:pPr>
        <w:pStyle w:val="ListParagraph"/>
        <w:numPr>
          <w:ilvl w:val="0"/>
          <w:numId w:val="1"/>
        </w:numPr>
        <w:spacing w:after="60"/>
      </w:pPr>
      <w:r>
        <w:t xml:space="preserve">Retiro de insumos en estado "rojo" del semáforo de vencimientos y registro de merma.</w:t>
      </w:r>
    </w:p>
    <w:p>
      <w:pPr>
        <w:pStyle w:val="ListParagraph"/>
        <w:numPr>
          <w:ilvl w:val="0"/>
          <w:numId w:val="1"/>
        </w:numPr>
        <w:spacing w:after="60"/>
      </w:pPr>
      <w:r>
        <w:t xml:space="preserve">Cierre de puertas, activación de alarma y apagado de equipos no esenciales.</w:t>
      </w:r>
    </w:p>
    <w:p>
      <w:pPr>
        <w:pStyle w:val="Heading1"/>
        <w:spacing w:after="150" w:before="300"/>
      </w:pPr>
      <w:r>
        <w:t xml:space="preserve">7. Manejo de caja y pagos</w:t>
      </w:r>
    </w:p>
    <w:p>
      <w:pPr>
        <w:spacing w:after="120"/>
      </w:pPr>
      <w:r>
        <w:t xml:space="preserve">Restaurante Delicioso acepta efectivo, tarjetas de débito/crédito, Yape y Plin. Todo pago debe registrarse en el POS antes de emitir el comprobante (boleta o factura electrónica). Diferencias en el arqueo de caja superiores a S/ 20 deben reportarse de inmediato al Administrador.</w:t>
      </w:r>
    </w:p>
    <w:p>
      <w:pPr>
        <w:pStyle w:val="Heading1"/>
        <w:spacing w:after="150" w:before="300"/>
      </w:pPr>
      <w:r>
        <w:t xml:space="preserve">8. Protocolo de emergencias</w:t>
      </w:r>
    </w:p>
    <w:p>
      <w:pPr>
        <w:pStyle w:val="Heading2"/>
        <w:spacing w:after="100" w:before="200"/>
      </w:pPr>
      <w:r>
        <w:t xml:space="preserve">8.1 Incendio en cocina</w:t>
      </w:r>
    </w:p>
    <w:p>
      <w:pPr>
        <w:spacing w:after="120"/>
      </w:pPr>
      <w:r>
        <w:t xml:space="preserve">Cortar el suministro de gas de inmediato. Si el fuego es pequeño (sartén, freidora), usar la manta ignífuga o el extintor tipo K; nunca usar agua sobre fuego con aceite. Si el fuego crece, evacuar y llamar a Bomberos (116).</w:t>
      </w:r>
    </w:p>
    <w:p>
      <w:pPr>
        <w:pStyle w:val="Heading2"/>
        <w:spacing w:after="100" w:before="200"/>
      </w:pPr>
      <w:r>
        <w:t xml:space="preserve">8.2 Sismo</w:t>
      </w:r>
    </w:p>
    <w:p>
      <w:pPr>
        <w:spacing w:after="120"/>
      </w:pPr>
      <w:r>
        <w:t xml:space="preserve">Alejarse de estanterías altas y equipos de cocina. Ubicarse bajo el marco de una puerta estructural o junto a una columna. No correr hacia la salida durante el movimiento. Al finalizar, el Administrador revisa fugas de gas antes de reanudar la operación.</w:t>
      </w:r>
    </w:p>
    <w:p>
      <w:pPr>
        <w:pStyle w:val="Heading2"/>
        <w:spacing w:after="100" w:before="200"/>
      </w:pPr>
      <w:r>
        <w:t xml:space="preserve">8.3 Emergencia médica o corte con cuchillo</w:t>
      </w:r>
    </w:p>
    <w:p>
      <w:pPr>
        <w:spacing w:after="120"/>
      </w:pPr>
      <w:r>
        <w:t xml:space="preserve">Aplicar primeros auxilios básicos con el botiquín disponible en cocina. Si la herida es profunda o hay un accidente mayor, llamar al 106 (SAMU) de inmediato y notificar al Administrador.</w:t>
      </w:r>
    </w:p>
    <w:p>
      <w:pPr>
        <w:pStyle w:val="Heading1"/>
        <w:spacing w:after="150" w:before="300"/>
      </w:pPr>
      <w:r>
        <w:t xml:space="preserve">9. Régimen disciplinario</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4200"/>
        <w:gridCol w:w="2600"/>
      </w:tblGrid>
      <w:tr>
        <w:tc>
          <w:tcPr>
            <w:tcW w:type="dxa" w:w="2200"/>
            <w:shd w:fill="2E5E3E" w:val="clear"/>
          </w:tcPr>
          <w:p>
            <w:r>
              <w:rPr>
                <w:b/>
                <w:bCs/>
                <w:color w:val="FFFFFF"/>
                <w:sz w:val="20"/>
                <w:szCs w:val="20"/>
              </w:rPr>
              <w:t xml:space="preserve">Tipo de falta</w:t>
            </w:r>
          </w:p>
        </w:tc>
        <w:tc>
          <w:tcPr>
            <w:tcW w:type="dxa" w:w="4200"/>
            <w:shd w:fill="2E5E3E" w:val="clear"/>
          </w:tcPr>
          <w:p>
            <w:r>
              <w:rPr>
                <w:b/>
                <w:bCs/>
                <w:color w:val="FFFFFF"/>
                <w:sz w:val="20"/>
                <w:szCs w:val="20"/>
              </w:rPr>
              <w:t xml:space="preserve">Ejemplos</w:t>
            </w:r>
          </w:p>
        </w:tc>
        <w:tc>
          <w:tcPr>
            <w:tcW w:type="dxa" w:w="2600"/>
            <w:shd w:fill="2E5E3E" w:val="clear"/>
          </w:tcPr>
          <w:p>
            <w:r>
              <w:rPr>
                <w:b/>
                <w:bCs/>
                <w:color w:val="FFFFFF"/>
                <w:sz w:val="20"/>
                <w:szCs w:val="20"/>
              </w:rPr>
              <w:t xml:space="preserve">Sanción primera vez</w:t>
            </w:r>
          </w:p>
        </w:tc>
      </w:tr>
      <w:tr>
        <w:tc>
          <w:tcPr>
            <w:tcW w:type="dxa" w:w="2200"/>
          </w:tcPr>
          <w:p>
            <w:r>
              <w:rPr>
                <w:b w:val="false"/>
                <w:bCs w:val="false"/>
                <w:sz w:val="20"/>
                <w:szCs w:val="20"/>
              </w:rPr>
              <w:t xml:space="preserve">Leve</w:t>
            </w:r>
          </w:p>
        </w:tc>
        <w:tc>
          <w:tcPr>
            <w:tcW w:type="dxa" w:w="4200"/>
          </w:tcPr>
          <w:p>
            <w:r>
              <w:rPr>
                <w:b w:val="false"/>
                <w:bCs w:val="false"/>
                <w:sz w:val="20"/>
                <w:szCs w:val="20"/>
              </w:rPr>
              <w:t xml:space="preserve">Tardanza, uniforme incompleto, uso de celular en turno</w:t>
            </w:r>
          </w:p>
        </w:tc>
        <w:tc>
          <w:tcPr>
            <w:tcW w:type="dxa" w:w="2600"/>
          </w:tcPr>
          <w:p>
            <w:r>
              <w:rPr>
                <w:b w:val="false"/>
                <w:bCs w:val="false"/>
                <w:sz w:val="20"/>
                <w:szCs w:val="20"/>
              </w:rPr>
              <w:t xml:space="preserve">Llamada de atención verbal</w:t>
            </w:r>
          </w:p>
        </w:tc>
      </w:tr>
      <w:tr>
        <w:tc>
          <w:tcPr>
            <w:tcW w:type="dxa" w:w="2200"/>
          </w:tcPr>
          <w:p>
            <w:r>
              <w:rPr>
                <w:b w:val="false"/>
                <w:bCs w:val="false"/>
                <w:sz w:val="20"/>
                <w:szCs w:val="20"/>
              </w:rPr>
              <w:t xml:space="preserve">Grave</w:t>
            </w:r>
          </w:p>
        </w:tc>
        <w:tc>
          <w:tcPr>
            <w:tcW w:type="dxa" w:w="4200"/>
          </w:tcPr>
          <w:p>
            <w:r>
              <w:rPr>
                <w:b w:val="false"/>
                <w:bCs w:val="false"/>
                <w:sz w:val="20"/>
                <w:szCs w:val="20"/>
              </w:rPr>
              <w:t xml:space="preserve">Ausencia injustificada, trato irrespetuoso a un cliente, incumplimiento de higiene</w:t>
            </w:r>
          </w:p>
        </w:tc>
        <w:tc>
          <w:tcPr>
            <w:tcW w:type="dxa" w:w="2600"/>
          </w:tcPr>
          <w:p>
            <w:r>
              <w:rPr>
                <w:b w:val="false"/>
                <w:bCs w:val="false"/>
                <w:sz w:val="20"/>
                <w:szCs w:val="20"/>
              </w:rPr>
              <w:t xml:space="preserve">Amonestación escrita</w:t>
            </w:r>
          </w:p>
        </w:tc>
      </w:tr>
      <w:tr>
        <w:tc>
          <w:tcPr>
            <w:tcW w:type="dxa" w:w="2200"/>
          </w:tcPr>
          <w:p>
            <w:r>
              <w:rPr>
                <w:b w:val="false"/>
                <w:bCs w:val="false"/>
                <w:sz w:val="20"/>
                <w:szCs w:val="20"/>
              </w:rPr>
              <w:t xml:space="preserve">Muy grave</w:t>
            </w:r>
          </w:p>
        </w:tc>
        <w:tc>
          <w:tcPr>
            <w:tcW w:type="dxa" w:w="4200"/>
          </w:tcPr>
          <w:p>
            <w:r>
              <w:rPr>
                <w:b w:val="false"/>
                <w:bCs w:val="false"/>
                <w:sz w:val="20"/>
                <w:szCs w:val="20"/>
              </w:rPr>
              <w:t xml:space="preserve">Robo, agresión, presentarse bajo efectos de alcohol o drogas</w:t>
            </w:r>
          </w:p>
        </w:tc>
        <w:tc>
          <w:tcPr>
            <w:tcW w:type="dxa" w:w="2600"/>
          </w:tcPr>
          <w:p>
            <w:r>
              <w:rPr>
                <w:b w:val="false"/>
                <w:bCs w:val="false"/>
                <w:sz w:val="20"/>
                <w:szCs w:val="20"/>
              </w:rPr>
              <w:t xml:space="preserve">Despido conforme a ley</w:t>
            </w:r>
          </w:p>
        </w:tc>
      </w:tr>
    </w:tbl>
    <w:p>
      <w:pPr>
        <w:pStyle w:val="Heading1"/>
        <w:spacing w:after="150" w:before="300"/>
      </w:pPr>
      <w:r>
        <w:t xml:space="preserve">10. Disposiciones finales</w:t>
      </w:r>
    </w:p>
    <w:p>
      <w:pPr>
        <w:spacing w:after="120"/>
      </w:pPr>
      <w:r>
        <w:t xml:space="preserve">Este reglamento entra en vigor el 21 de julio de 2026 y es de conocimiento y aceptación obligatoria para todo colaborador de Restaurante Delicioso. Será revisado por la Administración cada 12 meses o cuando cambie la normativa laboral o sanitaria aplicable.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2026-07-22T03:51:03.406Z</dcterms:created>
  <dcterms:modified xsi:type="dcterms:W3CDTF">2026-07-22T03:51:03.406Z</dcterms:modified>
</cp:coreProperties>
</file>

<file path=docProps/custom.xml><?xml version="1.0" encoding="utf-8"?>
<Properties xmlns="http://schemas.openxmlformats.org/officeDocument/2006/custom-properties" xmlns:vt="http://schemas.openxmlformats.org/officeDocument/2006/docPropsVTypes"/>
</file>