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40"/>
      </w:tblGrid>
      <w:tr>
        <w:trPr>
          <w:trHeight w:val="32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800"/>
              <w:left w:type="dxa" w:w="1440"/>
              <w:bottom w:type="dxa" w:w="0"/>
              <w:right w:type="dxa" w:w="14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72"/>
                <w:szCs w:val="72"/>
              </w:rPr>
              <w:t xml:space="preserve">ALPHABREIN</w:t>
            </w:r>
          </w:p>
          <w:p>
            <w:pPr>
              <w:spacing w:before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A8C8E8"/>
                <w:sz w:val="28"/>
                <w:szCs w:val="28"/>
              </w:rPr>
              <w:t xml:space="preserve">Asistente Jurídico Laboral Colombiano</w:t>
            </w:r>
          </w:p>
        </w:tc>
      </w:tr>
    </w:tbl>
    <w:tbl>
      <w:tblPr>
        <w:tblW w:type="dxa" w:w="12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40"/>
      </w:tblGrid>
      <w:tr>
        <w:trPr>
          <w:trHeight w:val="72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4F8" w:val="clear"/>
            <w:tcMar>
              <w:top w:type="dxa" w:w="1200"/>
              <w:left w:type="dxa" w:w="1440"/>
              <w:bottom w:type="dxa" w:w="0"/>
              <w:right w:type="dxa" w:w="1440"/>
            </w:tcMar>
            <w:vAlign w:val="center"/>
          </w:tcPr>
          <w:p>
            <w:pPr>
              <w:spacing w:after="20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A3A5C"/>
                <w:sz w:val="28"/>
                <w:szCs w:val="28"/>
              </w:rPr>
              <w:t xml:space="preserve">DOCUMENTO TÉCNICO DE ESPECIFICACIÓN DEL SISTEMA</w:t>
            </w:r>
          </w:p>
          <w:p>
            <w:r>
              <w:t xml:space="preserve"/>
            </w:r>
          </w:p>
          <w:tbl>
            <w:tblPr>
              <w:tblW w:type="dxa" w:w="93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800"/>
              <w:gridCol w:w="6560"/>
            </w:tblGrid>
            <w:tr>
              <w:tc>
                <w:tcPr>
                  <w:tcW w:type="dxa" w:w="2800"/>
                  <w:tcBorders>
                    <w:top w:val="single" w:color="C5D5E8" w:sz="1"/>
                    <w:left w:val="single" w:color="C5D5E8" w:sz="1"/>
                    <w:bottom w:val="single" w:color="C5D5E8" w:sz="1"/>
                    <w:right w:val="single" w:color="C5D5E8" w:sz="1"/>
                  </w:tcBorders>
                  <w:shd w:fill="D6E4F0" w:val="clear"/>
                  <w:tcMar>
                    <w:top w:type="dxa" w:w="100"/>
                    <w:left w:type="dxa" w:w="150"/>
                    <w:bottom w:type="dxa" w:w="100"/>
                    <w:right w:type="dxa" w:w="15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A3A5C"/>
                      <w:sz w:val="20"/>
                      <w:szCs w:val="20"/>
                    </w:rPr>
                    <w:t xml:space="preserve">Versión</w:t>
                  </w:r>
                </w:p>
              </w:tc>
              <w:tc>
                <w:tcPr>
                  <w:tcW w:type="dxa" w:w="6560"/>
                  <w:tcBorders>
                    <w:top w:val="single" w:color="C5D5E8" w:sz="1"/>
                    <w:left w:val="single" w:color="C5D5E8" w:sz="1"/>
                    <w:bottom w:val="single" w:color="C5D5E8" w:sz="1"/>
                    <w:right w:val="single" w:color="C5D5E8" w:sz="1"/>
                  </w:tcBorders>
                  <w:shd w:fill="FFFFFF" w:val="clear"/>
                  <w:tcMar>
                    <w:top w:type="dxa" w:w="100"/>
                    <w:left w:type="dxa" w:w="150"/>
                    <w:bottom w:type="dxa" w:w="100"/>
                    <w:right w:type="dxa" w:w="150"/>
                  </w:tcMar>
                </w:tcPr>
                <w:p>
                  <w:r>
                    <w:rPr>
                      <w:rFonts w:ascii="Arial" w:cs="Arial" w:eastAsia="Arial" w:hAnsi="Arial"/>
                      <w:color w:val="2C2C2C"/>
                      <w:sz w:val="20"/>
                      <w:szCs w:val="20"/>
                    </w:rPr>
                    <w:t xml:space="preserve">1.0.0</w:t>
                  </w:r>
                </w:p>
              </w:tc>
            </w:tr>
            <w:tr>
              <w:tc>
                <w:tcPr>
                  <w:tcW w:type="dxa" w:w="2800"/>
                  <w:tcBorders>
                    <w:top w:val="single" w:color="C5D5E8" w:sz="1"/>
                    <w:left w:val="single" w:color="C5D5E8" w:sz="1"/>
                    <w:bottom w:val="single" w:color="C5D5E8" w:sz="1"/>
                    <w:right w:val="single" w:color="C5D5E8" w:sz="1"/>
                  </w:tcBorders>
                  <w:shd w:fill="D6E4F0" w:val="clear"/>
                  <w:tcMar>
                    <w:top w:type="dxa" w:w="100"/>
                    <w:left w:type="dxa" w:w="150"/>
                    <w:bottom w:type="dxa" w:w="100"/>
                    <w:right w:type="dxa" w:w="15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A3A5C"/>
                      <w:sz w:val="20"/>
                      <w:szCs w:val="20"/>
                    </w:rPr>
                    <w:t xml:space="preserve">Fecha de emisión</w:t>
                  </w:r>
                </w:p>
              </w:tc>
              <w:tc>
                <w:tcPr>
                  <w:tcW w:type="dxa" w:w="6560"/>
                  <w:tcBorders>
                    <w:top w:val="single" w:color="C5D5E8" w:sz="1"/>
                    <w:left w:val="single" w:color="C5D5E8" w:sz="1"/>
                    <w:bottom w:val="single" w:color="C5D5E8" w:sz="1"/>
                    <w:right w:val="single" w:color="C5D5E8" w:sz="1"/>
                  </w:tcBorders>
                  <w:shd w:fill="FFFFFF" w:val="clear"/>
                  <w:tcMar>
                    <w:top w:type="dxa" w:w="100"/>
                    <w:left w:type="dxa" w:w="150"/>
                    <w:bottom w:type="dxa" w:w="100"/>
                    <w:right w:type="dxa" w:w="150"/>
                  </w:tcMar>
                </w:tcPr>
                <w:p>
                  <w:r>
                    <w:rPr>
                      <w:rFonts w:ascii="Arial" w:cs="Arial" w:eastAsia="Arial" w:hAnsi="Arial"/>
                      <w:color w:val="2C2C2C"/>
                      <w:sz w:val="20"/>
                      <w:szCs w:val="20"/>
                    </w:rPr>
                    <w:t xml:space="preserve">Mayo 2025</w:t>
                  </w:r>
                </w:p>
              </w:tc>
            </w:tr>
            <w:tr>
              <w:tc>
                <w:tcPr>
                  <w:tcW w:type="dxa" w:w="2800"/>
                  <w:tcBorders>
                    <w:top w:val="single" w:color="C5D5E8" w:sz="1"/>
                    <w:left w:val="single" w:color="C5D5E8" w:sz="1"/>
                    <w:bottom w:val="single" w:color="C5D5E8" w:sz="1"/>
                    <w:right w:val="single" w:color="C5D5E8" w:sz="1"/>
                  </w:tcBorders>
                  <w:shd w:fill="D6E4F0" w:val="clear"/>
                  <w:tcMar>
                    <w:top w:type="dxa" w:w="100"/>
                    <w:left w:type="dxa" w:w="150"/>
                    <w:bottom w:type="dxa" w:w="100"/>
                    <w:right w:type="dxa" w:w="15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A3A5C"/>
                      <w:sz w:val="20"/>
                      <w:szCs w:val="20"/>
                    </w:rPr>
                    <w:t xml:space="preserve">Clasificación</w:t>
                  </w:r>
                </w:p>
              </w:tc>
              <w:tc>
                <w:tcPr>
                  <w:tcW w:type="dxa" w:w="6560"/>
                  <w:tcBorders>
                    <w:top w:val="single" w:color="C5D5E8" w:sz="1"/>
                    <w:left w:val="single" w:color="C5D5E8" w:sz="1"/>
                    <w:bottom w:val="single" w:color="C5D5E8" w:sz="1"/>
                    <w:right w:val="single" w:color="C5D5E8" w:sz="1"/>
                  </w:tcBorders>
                  <w:shd w:fill="FFFFFF" w:val="clear"/>
                  <w:tcMar>
                    <w:top w:type="dxa" w:w="100"/>
                    <w:left w:type="dxa" w:w="150"/>
                    <w:bottom w:type="dxa" w:w="100"/>
                    <w:right w:type="dxa" w:w="150"/>
                  </w:tcMar>
                </w:tcPr>
                <w:p>
                  <w:r>
                    <w:rPr>
                      <w:rFonts w:ascii="Arial" w:cs="Arial" w:eastAsia="Arial" w:hAnsi="Arial"/>
                      <w:color w:val="2C2C2C"/>
                      <w:sz w:val="20"/>
                      <w:szCs w:val="20"/>
                    </w:rPr>
                    <w:t xml:space="preserve">Documento Técnico Interno</w:t>
                  </w:r>
                </w:p>
              </w:tc>
            </w:tr>
            <w:tr>
              <w:tc>
                <w:tcPr>
                  <w:tcW w:type="dxa" w:w="2800"/>
                  <w:tcBorders>
                    <w:top w:val="single" w:color="C5D5E8" w:sz="1"/>
                    <w:left w:val="single" w:color="C5D5E8" w:sz="1"/>
                    <w:bottom w:val="single" w:color="C5D5E8" w:sz="1"/>
                    <w:right w:val="single" w:color="C5D5E8" w:sz="1"/>
                  </w:tcBorders>
                  <w:shd w:fill="D6E4F0" w:val="clear"/>
                  <w:tcMar>
                    <w:top w:type="dxa" w:w="100"/>
                    <w:left w:type="dxa" w:w="150"/>
                    <w:bottom w:type="dxa" w:w="100"/>
                    <w:right w:type="dxa" w:w="15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A3A5C"/>
                      <w:sz w:val="20"/>
                      <w:szCs w:val="20"/>
                    </w:rPr>
                    <w:t xml:space="preserve">Dominio</w:t>
                  </w:r>
                </w:p>
              </w:tc>
              <w:tc>
                <w:tcPr>
                  <w:tcW w:type="dxa" w:w="6560"/>
                  <w:tcBorders>
                    <w:top w:val="single" w:color="C5D5E8" w:sz="1"/>
                    <w:left w:val="single" w:color="C5D5E8" w:sz="1"/>
                    <w:bottom w:val="single" w:color="C5D5E8" w:sz="1"/>
                    <w:right w:val="single" w:color="C5D5E8" w:sz="1"/>
                  </w:tcBorders>
                  <w:shd w:fill="FFFFFF" w:val="clear"/>
                  <w:tcMar>
                    <w:top w:type="dxa" w:w="100"/>
                    <w:left w:type="dxa" w:w="150"/>
                    <w:bottom w:type="dxa" w:w="100"/>
                    <w:right w:type="dxa" w:w="150"/>
                  </w:tcMar>
                </w:tcPr>
                <w:p>
                  <w:r>
                    <w:rPr>
                      <w:rFonts w:ascii="Arial" w:cs="Arial" w:eastAsia="Arial" w:hAnsi="Arial"/>
                      <w:color w:val="2C2C2C"/>
                      <w:sz w:val="20"/>
                      <w:szCs w:val="20"/>
                    </w:rPr>
                    <w:t xml:space="preserve">Derecho Laboral Colombiano</w:t>
                  </w:r>
                </w:p>
              </w:tc>
            </w:tr>
            <w:tr>
              <w:tc>
                <w:tcPr>
                  <w:tcW w:type="dxa" w:w="2800"/>
                  <w:tcBorders>
                    <w:top w:val="single" w:color="C5D5E8" w:sz="1"/>
                    <w:left w:val="single" w:color="C5D5E8" w:sz="1"/>
                    <w:bottom w:val="single" w:color="C5D5E8" w:sz="1"/>
                    <w:right w:val="single" w:color="C5D5E8" w:sz="1"/>
                  </w:tcBorders>
                  <w:shd w:fill="D6E4F0" w:val="clear"/>
                  <w:tcMar>
                    <w:top w:type="dxa" w:w="100"/>
                    <w:left w:type="dxa" w:w="150"/>
                    <w:bottom w:type="dxa" w:w="100"/>
                    <w:right w:type="dxa" w:w="15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A3A5C"/>
                      <w:sz w:val="20"/>
                      <w:szCs w:val="20"/>
                    </w:rPr>
                    <w:t xml:space="preserve">Arquitectura</w:t>
                  </w:r>
                </w:p>
              </w:tc>
              <w:tc>
                <w:tcPr>
                  <w:tcW w:type="dxa" w:w="6560"/>
                  <w:tcBorders>
                    <w:top w:val="single" w:color="C5D5E8" w:sz="1"/>
                    <w:left w:val="single" w:color="C5D5E8" w:sz="1"/>
                    <w:bottom w:val="single" w:color="C5D5E8" w:sz="1"/>
                    <w:right w:val="single" w:color="C5D5E8" w:sz="1"/>
                  </w:tcBorders>
                  <w:shd w:fill="FFFFFF" w:val="clear"/>
                  <w:tcMar>
                    <w:top w:type="dxa" w:w="100"/>
                    <w:left w:type="dxa" w:w="150"/>
                    <w:bottom w:type="dxa" w:w="100"/>
                    <w:right w:type="dxa" w:w="150"/>
                  </w:tcMar>
                </w:tcPr>
                <w:p>
                  <w:r>
                    <w:rPr>
                      <w:rFonts w:ascii="Arial" w:cs="Arial" w:eastAsia="Arial" w:hAnsi="Arial"/>
                      <w:color w:val="2C2C2C"/>
                      <w:sz w:val="20"/>
                      <w:szCs w:val="20"/>
                    </w:rPr>
                    <w:t xml:space="preserve">Backend Java / Spring Boot + Frontend React</w:t>
                  </w:r>
                </w:p>
              </w:tc>
            </w:tr>
          </w:tbl>
          <w:p>
            <w:pPr>
              <w:spacing w:before="600"/>
            </w:pPr>
            <w:r>
              <w:t xml:space="preserve"/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Confidencial — Uso interno</w:t>
            </w:r>
          </w:p>
        </w:tc>
      </w:tr>
    </w:tbl>
    <w:tbl>
      <w:tblPr>
        <w:tblW w:type="dxa" w:w="12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8"/>
        <w:gridCol w:w="2448"/>
        <w:gridCol w:w="2448"/>
        <w:gridCol w:w="2448"/>
        <w:gridCol w:w="2448"/>
      </w:tblGrid>
      <w:tr>
        <w:trPr>
          <w:trHeight w:val="400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</w:tcPr>
          <w:p>
            <w:r>
              <w:t xml:space="preserve"/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6DA4" w:val="clear"/>
          </w:tcPr>
          <w:p>
            <w:r>
              <w:t xml:space="preserve"/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90D9" w:val="clear"/>
          </w:tcPr>
          <w:p>
            <w:r>
              <w:t xml:space="preserve"/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</w:tcPr>
          <w:p>
            <w:r>
              <w:t xml:space="preserve"/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6DA4" w:val="clear"/>
          </w:tcPr>
          <w:p>
            <w:r>
              <w:t xml:space="preserve"/>
            </w:r>
          </w:p>
        </w:tc>
      </w:tr>
    </w:tbl>
    <w:p>
      <w:pPr>
        <w:sectPr>
          <w:pgSz w:w="12240" w:h="1584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2E6DA4" w:sz="8" w:space="6"/>
        </w:pBdr>
        <w:spacing w:after="180" w:before="36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1. Resumen Ejecutivo</w:t>
      </w:r>
    </w:p>
    <w:p>
      <w:pPr>
        <w:spacing w:after="80" w:before="80" w:line="320"/>
        <w:jc w:val="both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AlphaBrein es una plataforma de asistencia jurídica especializada en el ámbito laboral colombiano. Su diseño combina una arquitectura backend robusta con capacidades de inteligencia conversacional, permitiendo a los usuarios obtener orientación fundamentada en la normativa laboral vigente de Colombia.</w:t>
      </w:r>
    </w:p>
    <w:p>
      <w:pPr>
        <w:spacing w:after="60" w:before="60"/>
      </w:pPr>
      <w:r>
        <w:t xml:space="preserve"/>
      </w:r>
    </w:p>
    <w:p>
      <w:pPr>
        <w:spacing w:after="80" w:before="80" w:line="320"/>
        <w:jc w:val="both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El sistema implementa mecanismos de autenticación y autorización mediante JWT (JSON Web Token), cifrado de contraseñas con bcrypt y persistencia de datos a través de PostgreSQL en Neon DB. Adicionalmente, incorpora memoria conversacional, historial de sesiones y almacenamiento persistente de mensajes, garantizando continuidad y trazabilidad en cada interacción.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D6E4F0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Seguridad</w:t>
            </w:r>
          </w:p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Autenticación JWT y cifrado bcrypt para protección total de credenciales.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D6E4F0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Continuidad</w:t>
            </w:r>
          </w:p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Memoria conversacional persistente con historial completo de sesiones.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D6E4F0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Especialización</w:t>
            </w:r>
          </w:p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Enfocado exclusivamente en derecho laboral colombiano.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2E6DA4" w:sz="8" w:space="6"/>
        </w:pBdr>
        <w:spacing w:after="180" w:before="36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2. Descripción General del Sistema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2.1 Objetivo</w:t>
      </w:r>
    </w:p>
    <w:p>
      <w:pPr>
        <w:spacing w:after="80" w:before="80" w:line="320"/>
        <w:jc w:val="both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AlphaBrein tiene como propósito proporcionar a usuarios, abogados, trabajadores y empresas una herramienta de consulta jurídica laboral confiable, disponible y segura. El sistema responde consultas sobre legislación laboral colombiana, interpretá normas del Código Sustantivo del Trabajo, decretos y jurisprudencia relevante.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2.2 Alcance Funcional</w:t>
      </w:r>
    </w:p>
    <w:p>
      <w:pPr>
        <w:spacing w:after="80" w:before="80" w:line="320"/>
        <w:jc w:val="both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El sistema abarca los siguientes módulos funcionales: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Registro y autenticación de usuarios con cifrado seguro de credenciales.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Gestión de sesiones de chat con persistencia y memoria conversacional.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Procesamiento de consultas jurídicas laborales mediante agente de IA.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Historial de conversaciones con capacidad de recuperación por sesión.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API RESTful documentada para integración con sistemas externos.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2E6DA4" w:sz="8" w:space="6"/>
        </w:pBdr>
        <w:spacing w:after="180" w:before="36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3. Arquitectura del Sistema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3.1 Visión General</w:t>
      </w:r>
    </w:p>
    <w:p>
      <w:pPr>
        <w:spacing w:after="80" w:before="80" w:line="320"/>
        <w:jc w:val="both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La arquitectura sigue el patrón cliente-servidor con separación clara de responsabilidades entre el frontend React y el backend Spring Boot. La comunicación se realiza única y exclusivamente mediante una API RESTful protegida por tokens JWT.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3.2 Componentes Principales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2E6DA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2E6DA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Tecnología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2E6DA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Responsabilidad</w:t>
            </w:r>
          </w:p>
        </w:tc>
      </w:tr>
      <w:tr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Frontend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React + Vite + Tailwind CSS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Interfaz de usuario y experiencia conversacional</w:t>
            </w:r>
          </w:p>
        </w:tc>
      </w:tr>
      <w:tr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Backend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Java 17 + Spring Boot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Lógica de negocio y exposición de API REST</w:t>
            </w:r>
          </w:p>
        </w:tc>
      </w:tr>
      <w:tr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Seguridad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Spring Security + JWT + bcrypt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Autenticación, autorización y cifrado</w:t>
            </w:r>
          </w:p>
        </w:tc>
      </w:tr>
      <w:tr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PostgreSQL en Neon DB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Persistencia de usuarios, sesiones y mensajes</w:t>
            </w:r>
          </w:p>
        </w:tc>
      </w:tr>
      <w:tr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Agente IA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n8n (integración externa)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Procesamiento de consultas jurídicas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3.3 Flujo de Autenticación</w:t>
      </w:r>
    </w:p>
    <w:p>
      <w:pPr>
        <w:spacing w:after="80" w:before="80" w:line="320"/>
        <w:jc w:val="both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El proceso de autenticación sigue el siguiente flujo estandarizado: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El cliente envía las credenciales (email y contraseña) al endpoint de login.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El backend valida las credenciales contra la base de datos PostgreSQL.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Tras validación exitosa, se genera un token JWT firmado con clave secreta.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El cliente almacena el token y lo envía en el encabezado Authorization en cada solicitud.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Spring Security intercepta y valida el token en cada petición protegida.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2E6DA4" w:sz="8" w:space="6"/>
        </w:pBdr>
        <w:spacing w:after="180" w:before="36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4. Stack Tecnológico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4.1 Backend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2E6DA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Tecnología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2E6DA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2E6DA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Propósito</w:t>
            </w:r>
          </w:p>
        </w:tc>
      </w:tr>
      <w:tr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Java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17 LTS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Lenguaje de programación principal</w:t>
            </w:r>
          </w:p>
        </w:tc>
      </w:tr>
      <w:tr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Spring Boot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3.x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Framework de aplicación empresarial</w:t>
            </w:r>
          </w:p>
        </w:tc>
      </w:tr>
      <w:tr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Spring Security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6.x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Gestión de seguridad y control de acceso</w:t>
            </w:r>
          </w:p>
        </w:tc>
      </w:tr>
      <w:tr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JWT (JJWT)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0.11+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Generación y validación de tokens de sesion</w:t>
            </w:r>
          </w:p>
        </w:tc>
      </w:tr>
      <w:tr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bcrypt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—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Cifrado seguro de contraseñas</w:t>
            </w:r>
          </w:p>
        </w:tc>
      </w:tr>
      <w:tr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PostgreSQL (Neon DB)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15+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Base de datos relacional en la nube</w:t>
            </w:r>
          </w:p>
        </w:tc>
      </w:tr>
      <w:tr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Maven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3.x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Gestión de dependencias y ciclo de vida del proyecto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4.2 Frontend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2E6DA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Tecnología</w:t>
            </w:r>
          </w:p>
        </w:tc>
        <w:tc>
          <w:tcPr>
            <w:tcW w:type="dxa" w:w="468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2E6DA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Propósito</w:t>
            </w:r>
          </w:p>
        </w:tc>
      </w:tr>
      <w:tr>
        <w:tc>
          <w:tcPr>
            <w:tcW w:type="dxa" w:w="468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React 18</w:t>
            </w:r>
          </w:p>
        </w:tc>
        <w:tc>
          <w:tcPr>
            <w:tcW w:type="dxa" w:w="468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Biblioteca de interfaz de usuario reactiva</w:t>
            </w:r>
          </w:p>
        </w:tc>
      </w:tr>
      <w:tr>
        <w:tc>
          <w:tcPr>
            <w:tcW w:type="dxa" w:w="468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Vite</w:t>
            </w:r>
          </w:p>
        </w:tc>
        <w:tc>
          <w:tcPr>
            <w:tcW w:type="dxa" w:w="468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Empaquetador y servidor de desarrollo rápido</w:t>
            </w:r>
          </w:p>
        </w:tc>
      </w:tr>
      <w:tr>
        <w:tc>
          <w:tcPr>
            <w:tcW w:type="dxa" w:w="468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Tailwind CSS</w:t>
            </w:r>
          </w:p>
        </w:tc>
        <w:tc>
          <w:tcPr>
            <w:tcW w:type="dxa" w:w="468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Framework CSS utilitario para diseño responsivo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2E6DA4" w:sz="8" w:space="6"/>
        </w:pBdr>
        <w:spacing w:after="180" w:before="36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5. Estructura del Repositorio</w:t>
      </w:r>
    </w:p>
    <w:p>
      <w:pPr>
        <w:spacing w:after="80" w:before="80" w:line="320"/>
        <w:jc w:val="both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El repositorio está organizado en dos subproyectos independientes que pueden desarrollarse y desplegarse de forma autónoma: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5D5E8" w:sz="1"/>
              <w:left w:val="single" w:color="4A90D9" w:sz="12"/>
              <w:bottom w:val="single" w:color="C5D5E8" w:sz="1"/>
              <w:right w:val="single" w:color="C5D5E8" w:sz="1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alphabrein/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├── bcrypt2025-springboot/          # Backend Java — Spring Boot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│   ├── src/main/java/               # Código fuente principal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│   ├── src/main/resources/          # Configuración (application.properties)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│   └── pom.xml                      # Dependencias Maven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└── bcrypt2025-front-end/           # Frontend — React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    ├── src/                         # Código fuente React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    ├── public/                      # Recursos estáticos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    └── package.json                 # Dependencias npm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2E6DA4" w:sz="8" w:space="6"/>
        </w:pBdr>
        <w:spacing w:after="180" w:before="36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6. Configuración y Despliegue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6.1 Requisitos Previos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2E6DA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2E6DA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Versión Mínima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2E6DA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Java JDK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17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Entorno de ejecución Java</w:t>
            </w:r>
          </w:p>
        </w:tc>
      </w:tr>
      <w:tr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Apache Maven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3.8+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Herramienta de construcción del backend</w:t>
            </w:r>
          </w:p>
        </w:tc>
      </w:tr>
      <w:tr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Node.js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18+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Entorno de ejecución para el frontend</w:t>
            </w:r>
          </w:p>
        </w:tc>
      </w:tr>
      <w:tr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npm / yarn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9+ / 1.22+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Gestor de paquetes JavaScript</w:t>
            </w:r>
          </w:p>
        </w:tc>
      </w:tr>
      <w:tr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PostgreSQL (Neon DB)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15+</w:t>
            </w:r>
          </w:p>
        </w:tc>
        <w:tc>
          <w:tcPr>
            <w:tcW w:type="dxa" w:w="312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Instancia de base de datos activa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6.2 Backend</w:t>
      </w:r>
    </w:p>
    <w:p>
      <w:pPr>
        <w:spacing w:after="80" w:before="80" w:line="320"/>
        <w:jc w:val="both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Siga los pasos indicados para poner en marcha el servicio backend:</w:t>
      </w:r>
    </w:p>
    <w:p>
      <w:pPr>
        <w:spacing w:after="60" w:before="60"/>
      </w:pPr>
      <w:r>
        <w:t xml:space="preserve"/>
      </w:r>
    </w:p>
    <w:p>
      <w:pPr>
        <w:spacing w:after="80" w:before="80" w:line="320"/>
        <w:jc w:val="both"/>
      </w:pPr>
      <w:r>
        <w:rPr>
          <w:rFonts w:ascii="Arial" w:cs="Arial" w:eastAsia="Arial" w:hAnsi="Arial"/>
          <w:b/>
          <w:bCs/>
          <w:color w:val="2C2C2C"/>
          <w:sz w:val="22"/>
          <w:szCs w:val="22"/>
        </w:rPr>
        <w:t xml:space="preserve">Paso 1 — Configure la conexión a la base de datos en el archivo: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5D5E8" w:sz="1"/>
              <w:left w:val="single" w:color="4A90D9" w:sz="12"/>
              <w:bottom w:val="single" w:color="C5D5E8" w:sz="1"/>
              <w:right w:val="single" w:color="C5D5E8" w:sz="1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bcrypt2025-springboot/src/main/resources/application.properties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 w:line="320"/>
        <w:jc w:val="both"/>
      </w:pPr>
      <w:r>
        <w:rPr>
          <w:rFonts w:ascii="Arial" w:cs="Arial" w:eastAsia="Arial" w:hAnsi="Arial"/>
          <w:b/>
          <w:bCs/>
          <w:color w:val="2C2C2C"/>
          <w:sz w:val="22"/>
          <w:szCs w:val="22"/>
        </w:rPr>
        <w:t xml:space="preserve">Paso 2 — Compile el proyecto: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5D5E8" w:sz="1"/>
              <w:left w:val="single" w:color="4A90D9" w:sz="12"/>
              <w:bottom w:val="single" w:color="C5D5E8" w:sz="1"/>
              <w:right w:val="single" w:color="C5D5E8" w:sz="1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./mvnw clean package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 w:line="320"/>
        <w:jc w:val="both"/>
      </w:pPr>
      <w:r>
        <w:rPr>
          <w:rFonts w:ascii="Arial" w:cs="Arial" w:eastAsia="Arial" w:hAnsi="Arial"/>
          <w:b/>
          <w:bCs/>
          <w:color w:val="2C2C2C"/>
          <w:sz w:val="22"/>
          <w:szCs w:val="22"/>
        </w:rPr>
        <w:t xml:space="preserve">Paso 3 — Inicie la aplicación: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5D5E8" w:sz="1"/>
              <w:left w:val="single" w:color="4A90D9" w:sz="12"/>
              <w:bottom w:val="single" w:color="C5D5E8" w:sz="1"/>
              <w:right w:val="single" w:color="C5D5E8" w:sz="1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./mvnw spring-boot:run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 w:line="320"/>
        <w:jc w:val="both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La API quedará disponible en: http://localhost:8080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6.3 Frontend</w:t>
      </w:r>
    </w:p>
    <w:p>
      <w:pPr>
        <w:spacing w:after="80" w:before="80" w:line="320"/>
        <w:jc w:val="both"/>
      </w:pPr>
      <w:r>
        <w:rPr>
          <w:rFonts w:ascii="Arial" w:cs="Arial" w:eastAsia="Arial" w:hAnsi="Arial"/>
          <w:b/>
          <w:bCs/>
          <w:color w:val="2C2C2C"/>
          <w:sz w:val="22"/>
          <w:szCs w:val="22"/>
        </w:rPr>
        <w:t xml:space="preserve">Paso 1 — Instale las dependencias: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5D5E8" w:sz="1"/>
              <w:left w:val="single" w:color="4A90D9" w:sz="12"/>
              <w:bottom w:val="single" w:color="C5D5E8" w:sz="1"/>
              <w:right w:val="single" w:color="C5D5E8" w:sz="1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cd bcrypt2025-front-end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npm install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 w:line="320"/>
        <w:jc w:val="both"/>
      </w:pPr>
      <w:r>
        <w:rPr>
          <w:rFonts w:ascii="Arial" w:cs="Arial" w:eastAsia="Arial" w:hAnsi="Arial"/>
          <w:b/>
          <w:bCs/>
          <w:color w:val="2C2C2C"/>
          <w:sz w:val="22"/>
          <w:szCs w:val="22"/>
        </w:rPr>
        <w:t xml:space="preserve">Paso 2 — Inicie el servidor de desarrollo: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5D5E8" w:sz="1"/>
              <w:left w:val="single" w:color="4A90D9" w:sz="12"/>
              <w:bottom w:val="single" w:color="C5D5E8" w:sz="1"/>
              <w:right w:val="single" w:color="C5D5E8" w:sz="1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npm run dev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 w:line="320"/>
        <w:jc w:val="both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El frontend se ejecutará en: http://localhost:5173 (puerto por defecto de Vite)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2E6DA4" w:sz="8" w:space="6"/>
        </w:pBdr>
        <w:spacing w:after="180" w:before="36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7. Especificación de la API REST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7.1 Autenticación</w:t>
      </w:r>
    </w:p>
    <w:p>
      <w:pPr>
        <w:spacing w:after="80" w:before="80" w:line="320"/>
        <w:jc w:val="both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Todos los endpoints protegidos requieren el encabezado: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5D5E8" w:sz="1"/>
              <w:left w:val="single" w:color="4A90D9" w:sz="12"/>
              <w:bottom w:val="single" w:color="C5D5E8" w:sz="1"/>
              <w:right w:val="single" w:color="C5D5E8" w:sz="1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Authorization: Bearer {token_jwt}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C2C2C"/>
          <w:sz w:val="22"/>
          <w:szCs w:val="22"/>
        </w:rPr>
        <w:t xml:space="preserve">7.1.1 Registro de Usuario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2E7D3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POST</w:t>
            </w:r>
          </w:p>
        </w:tc>
        <w:tc>
          <w:tcPr>
            <w:tcW w:type="dxa" w:w="816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20"/>
                <w:szCs w:val="20"/>
              </w:rPr>
              <w:t xml:space="preserve">/api/auth/register</w:t>
            </w:r>
          </w:p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Crea una nueva cuenta de usuario con contraseña cifrada.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 w:line="320"/>
        <w:jc w:val="both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Cuerpo de la solicitud (JSON):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5D5E8" w:sz="1"/>
              <w:left w:val="single" w:color="4A90D9" w:sz="12"/>
              <w:bottom w:val="single" w:color="C5D5E8" w:sz="1"/>
              <w:right w:val="single" w:color="C5D5E8" w:sz="1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  "firstName":          "Breiner",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  "lastName":           "López",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  "idCard":              1234567890,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  "identificationType": "CC",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  "email":              "breiner@example.com",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  "password":           "password123",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  "phoneNumber":        "3005551234",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  "direction":          "Calle 1 #2-3"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 w:line="320"/>
        <w:jc w:val="both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Respuesta exitosa (200 OK):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5D5E8" w:sz="1"/>
              <w:left w:val="single" w:color="4A90D9" w:sz="12"/>
              <w:bottom w:val="single" w:color="C5D5E8" w:sz="1"/>
              <w:right w:val="single" w:color="C5D5E8" w:sz="1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  "token":   "eyJhbGciOiJIUzI1NiIsIn...",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  "message": "Usuario registrado exitosamente"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C2C2C"/>
          <w:sz w:val="22"/>
          <w:szCs w:val="22"/>
        </w:rPr>
        <w:t xml:space="preserve">7.1.2 Inicio de Sesión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2E7D3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POST</w:t>
            </w:r>
          </w:p>
        </w:tc>
        <w:tc>
          <w:tcPr>
            <w:tcW w:type="dxa" w:w="816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20"/>
                <w:szCs w:val="20"/>
              </w:rPr>
              <w:t xml:space="preserve">/api/auth/login</w:t>
            </w:r>
          </w:p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Autentica al usuario y devuelve un token JWT válido.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 w:line="320"/>
        <w:jc w:val="both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Cuerpo de la solicitud (JSON):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5D5E8" w:sz="1"/>
              <w:left w:val="single" w:color="4A90D9" w:sz="12"/>
              <w:bottom w:val="single" w:color="C5D5E8" w:sz="1"/>
              <w:right w:val="single" w:color="C5D5E8" w:sz="1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  "email":    "breiner@example.com",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  "password": "password123"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 w:line="320"/>
        <w:jc w:val="both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Respuesta exitosa (200 OK):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5D5E8" w:sz="1"/>
              <w:left w:val="single" w:color="4A90D9" w:sz="12"/>
              <w:bottom w:val="single" w:color="C5D5E8" w:sz="1"/>
              <w:right w:val="single" w:color="C5D5E8" w:sz="1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  "token":   "eyJhbGciOiJIUzI1NiIsIn...",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  "message": "Login exitoso"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7.2 Gestión de Chat</w:t>
      </w:r>
    </w:p>
    <w:p>
      <w:pPr>
        <w:spacing w:after="6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C2C2C"/>
          <w:sz w:val="22"/>
          <w:szCs w:val="22"/>
        </w:rPr>
        <w:t xml:space="preserve">7.2.1 Crear o Recuperar Sesión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2E7D3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POST</w:t>
            </w:r>
          </w:p>
        </w:tc>
        <w:tc>
          <w:tcPr>
            <w:tcW w:type="dxa" w:w="816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20"/>
                <w:szCs w:val="20"/>
              </w:rPr>
              <w:t xml:space="preserve">/api/chat/session</w:t>
            </w:r>
          </w:p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Crea una nueva sesión de chat o recupera la activa del usuario autenticado.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 w:line="320"/>
        <w:jc w:val="both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Respuesta exitosa (200 OK):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5D5E8" w:sz="1"/>
              <w:left w:val="single" w:color="4A90D9" w:sz="12"/>
              <w:bottom w:val="single" w:color="C5D5E8" w:sz="1"/>
              <w:right w:val="single" w:color="C5D5E8" w:sz="1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  "id":          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  "sessionId":   "38c2a0d1-c889-48e0-9c63-a41f04cbb787",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  "user":        { "idCard": 1234567890, "firstName": "Breiner"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  "n8nSessionId":"38c2a0d1-c889-48e0-9c63-a41f04cbb787",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  "createdAt":   "2025-01-15T10:30:00",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  "active":      true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C2C2C"/>
          <w:sz w:val="22"/>
          <w:szCs w:val="22"/>
        </w:rPr>
        <w:t xml:space="preserve">7.2.2 Enviar Mensaje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2E7D3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POST</w:t>
            </w:r>
          </w:p>
        </w:tc>
        <w:tc>
          <w:tcPr>
            <w:tcW w:type="dxa" w:w="816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20"/>
                <w:szCs w:val="20"/>
              </w:rPr>
              <w:t xml:space="preserve">/api/chat/message</w:t>
            </w:r>
          </w:p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Envía un mensaje al agente jurídico y devuelve su respuesta.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 w:line="320"/>
        <w:jc w:val="both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Cuerpo de la solicitud (JSON):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5D5E8" w:sz="1"/>
              <w:left w:val="single" w:color="4A90D9" w:sz="12"/>
              <w:bottom w:val="single" w:color="C5D5E8" w:sz="1"/>
              <w:right w:val="single" w:color="C5D5E8" w:sz="1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  "chatInput": "Consulta sobre liquidación de prestaciones sociales"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 w:line="320"/>
        <w:jc w:val="both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Respuesta exitosa (200 OK):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5D5E8" w:sz="1"/>
              <w:left w:val="single" w:color="4A90D9" w:sz="12"/>
              <w:bottom w:val="single" w:color="C5D5E8" w:sz="1"/>
              <w:right w:val="single" w:color="C5D5E8" w:sz="1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  "sessionId": "38c2a0d1-c889-48e0-9c63-a41f04cbb787",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  "message":   "Consulta sobre liquidación de prestaciones sociales",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  "response":  "Según el Artículo 249 del Código Sustantivo del Trabajo..."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8D8A8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C2C2C"/>
          <w:sz w:val="22"/>
          <w:szCs w:val="22"/>
        </w:rPr>
        <w:t xml:space="preserve">7.2.3 Historial de Sesión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1565C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GET</w:t>
            </w:r>
          </w:p>
        </w:tc>
        <w:tc>
          <w:tcPr>
            <w:tcW w:type="dxa" w:w="816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20"/>
                <w:szCs w:val="20"/>
              </w:rPr>
              <w:t xml:space="preserve">/api/chat/session/{sessionId}/history</w:t>
            </w:r>
          </w:p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Recupera el historial completo de mensajes de una sesión específica.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C2C2C"/>
          <w:sz w:val="22"/>
          <w:szCs w:val="22"/>
        </w:rPr>
        <w:t xml:space="preserve">7.2.4 Listar Sesiones del Usuario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1565C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GET</w:t>
            </w:r>
          </w:p>
        </w:tc>
        <w:tc>
          <w:tcPr>
            <w:tcW w:type="dxa" w:w="816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20"/>
                <w:szCs w:val="20"/>
              </w:rPr>
              <w:t xml:space="preserve">/api/chat/sessions</w:t>
            </w:r>
          </w:p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Devuelve todas las sesiones de chat asociadas al usuario autenticado.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C2C2C"/>
          <w:sz w:val="22"/>
          <w:szCs w:val="22"/>
        </w:rPr>
        <w:t xml:space="preserve">7.2.5 Cerrar Sesión de Chat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2E7D3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POST</w:t>
            </w:r>
          </w:p>
        </w:tc>
        <w:tc>
          <w:tcPr>
            <w:tcW w:type="dxa" w:w="8160"/>
            <w:tcBorders>
              <w:top w:val="single" w:color="C5D5E8" w:sz="1"/>
              <w:left w:val="single" w:color="C5D5E8" w:sz="1"/>
              <w:bottom w:val="single" w:color="C5D5E8" w:sz="1"/>
              <w:right w:val="single" w:color="C5D5E8" w:sz="1"/>
            </w:tcBorders>
            <w:shd w:fill="F5F7F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20"/>
                <w:szCs w:val="20"/>
              </w:rPr>
              <w:t xml:space="preserve">/api/chat/session/{sessionId}/close</w:t>
            </w:r>
          </w:p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Finaliza y cierra una sesión de chat activa.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2E6DA4" w:sz="8" w:space="6"/>
        </w:pBdr>
        <w:spacing w:after="180" w:before="36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8. Modelo de Seguridad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8.1 Cifrado de Contraseñas</w:t>
      </w:r>
    </w:p>
    <w:p>
      <w:pPr>
        <w:spacing w:after="80" w:before="80" w:line="320"/>
        <w:jc w:val="both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El sistema utiliza bcrypt como algoritmo de hashing para el almacenamiento de contraseñas. bcrypt incorpora un factor de coste configurable y salt automático, garantizando resistencia a ataques de fuerza bruta y tablas arcoíris. Las contraseñas en texto plano nunca se almacenan en la base de datos.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8.2 Gestión de Tokens JWT</w:t>
      </w:r>
    </w:p>
    <w:p>
      <w:pPr>
        <w:spacing w:after="80" w:before="80" w:line="320"/>
        <w:jc w:val="both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Los JSON Web Tokens implementados siguen el estándar RFC 7519. Cada token contiene los siguientes claims: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sub: identificador único del usuario (email).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iat: marca de tiempo de emisión del token.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exp: marca de tiempo de expiración del token.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roles: roles y permisos del usuario autenticado.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8.3 Protección de Endpoints</w:t>
      </w:r>
    </w:p>
    <w:p>
      <w:pPr>
        <w:spacing w:after="80" w:before="80" w:line="320"/>
        <w:jc w:val="both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Spring Security actúa como filtro global sobre todas las solicitudes HTTP. Los endpoints del módulo de chat requieren un token JWT válido; las rutas de autenticación (/api/auth/**) son públicas. Solicitudes con tokens inválidos, expirados o ausentes reciben una respuesta HTTP 401 Unauthorized.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2E6DA4" w:sz="8" w:space="6"/>
        </w:pBdr>
        <w:spacing w:after="180" w:before="36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9. Consideraciones Técnicas y Notas Finales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5D5E8" w:sz="1"/>
              <w:left w:val="single" w:color="4A90D9" w:sz="16"/>
              <w:bottom w:val="single" w:color="C5D5E8" w:sz="1"/>
              <w:right w:val="single" w:color="C5D5E8" w:sz="1"/>
            </w:tcBorders>
            <w:shd w:fill="D6E4F0" w:val="clear"/>
            <w:tcMar>
              <w:top w:type="dxa" w:w="200"/>
              <w:left w:type="dxa" w:w="300"/>
              <w:bottom w:type="dxa" w:w="200"/>
              <w:right w:type="dxa" w:w="2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Separación de responsabilidades</w:t>
            </w:r>
          </w:p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El diseño modular con backend y frontend independientes facilita el mantenimiento, las pruebas unitarias y el despliegue continuo (CI/CD) de cada componente por separado.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5D5E8" w:sz="1"/>
              <w:left w:val="single" w:color="2E7D32" w:sz="16"/>
              <w:bottom w:val="single" w:color="C5D5E8" w:sz="1"/>
              <w:right w:val="single" w:color="C5D5E8" w:sz="1"/>
            </w:tcBorders>
            <w:shd w:fill="E8F5E9" w:val="clear"/>
            <w:tcMar>
              <w:top w:type="dxa" w:w="200"/>
              <w:left w:type="dxa" w:w="300"/>
              <w:bottom w:type="dxa" w:w="200"/>
              <w:right w:type="dxa" w:w="2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B5E20"/>
                <w:sz w:val="22"/>
                <w:szCs w:val="22"/>
              </w:rPr>
              <w:t xml:space="preserve">Variables de entorno</w:t>
            </w:r>
          </w:p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La configuración sensible (cadenas de conexión, claves JWT, credenciales de terceros) debe gestionarse mediante variables de entorno o un sistema de secretos seguro, nunca en texto plano dentro del repositorio.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5D5E8" w:sz="1"/>
              <w:left w:val="single" w:color="E65100" w:sz="16"/>
              <w:bottom w:val="single" w:color="C5D5E8" w:sz="1"/>
              <w:right w:val="single" w:color="C5D5E8" w:sz="1"/>
            </w:tcBorders>
            <w:shd w:fill="FFF3E0" w:val="clear"/>
            <w:tcMar>
              <w:top w:type="dxa" w:w="200"/>
              <w:left w:type="dxa" w:w="300"/>
              <w:bottom w:type="dxa" w:w="200"/>
              <w:right w:type="dxa" w:w="2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BF360C"/>
                <w:sz w:val="22"/>
                <w:szCs w:val="22"/>
              </w:rPr>
              <w:t xml:space="preserve">Especialidad jurídica</w:t>
            </w:r>
          </w:p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AlphaBrein está diseñado exclusivamente para consultas en materia de derecho laboral colombiano. Las respuestas del agente se fundamentan en el Código Sustantivo del Trabajo, la Ley 100 de 1993 y normativa concordante vigente.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Bdr>
          <w:top w:val="single" w:color="D6E4F0" w:sz="4" w:space="8"/>
        </w:pBdr>
        <w:spacing w:before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Documento generado por el equipo AlphaBrein — 2025</w:t>
      </w:r>
    </w:p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E4F0" w:sz="4" w:space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Confidencial — AlphaBrein 2025</w:t>
    </w:r>
    <w:r>
      <w:rPr>
        <w:rFonts w:ascii="Arial" w:cs="Arial" w:eastAsia="Arial" w:hAnsi="Arial"/>
        <w:color w:val="555555"/>
        <w:sz w:val="16"/>
        <w:szCs w:val="16"/>
      </w:rPr>
      <w:t xml:space="preserve">	Página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2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5760"/>
      <w:gridCol w:w="3960"/>
    </w:tblGrid>
    <w:tr>
      <w:tc>
        <w:tcPr>
          <w:tcW w:type="dxa" w:w="57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FFFF" w:val="clear"/>
          <w:tcMar>
            <w:top w:type="dxa" w:w="60"/>
            <w:left w:type="dxa" w:w="0"/>
            <w:bottom w:type="dxa" w:w="60"/>
            <w:right w:type="dxa" w:w="0"/>
          </w:tcMar>
        </w:tcPr>
        <w:p>
          <w:r>
            <w:rPr>
              <w:rFonts w:ascii="Arial" w:cs="Arial" w:eastAsia="Arial" w:hAnsi="Arial"/>
              <w:b/>
              <w:bCs/>
              <w:color w:val="1A3A5C"/>
              <w:sz w:val="16"/>
              <w:szCs w:val="16"/>
            </w:rPr>
            <w:t xml:space="preserve">AlphaBrein — Asistente Jurídico Laboral</w:t>
          </w:r>
        </w:p>
      </w:tc>
      <w:tc>
        <w:tcPr>
          <w:tcW w:type="dxa" w:w="39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FFFF" w:val="clear"/>
          <w:tcMar>
            <w:top w:type="dxa" w:w="60"/>
            <w:left w:type="dxa" w:w="0"/>
            <w:bottom w:type="dxa" w:w="60"/>
            <w:right w:type="dxa" w:w="0"/>
          </w:tcMar>
        </w:tcPr>
        <w:p>
          <w:pPr>
            <w:jc w:val="right"/>
          </w:pPr>
          <w:r>
            <w:rPr>
              <w:rFonts w:ascii="Arial" w:cs="Arial" w:eastAsia="Arial" w:hAnsi="Arial"/>
              <w:color w:val="555555"/>
              <w:sz w:val="16"/>
              <w:szCs w:val="16"/>
            </w:rPr>
            <w:t xml:space="preserve">Especificación Técnica v1.0</w:t>
          </w:r>
        </w:p>
      </w:tc>
    </w:tr>
  </w:tbl>
  <w:p>
    <w:pPr>
      <w:pBdr>
        <w:bottom w:val="single" w:color="2E6DA4" w:sz="6" w:space="4"/>
      </w:pBdr>
      <w:spacing w:after="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A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6DA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C2C2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2026-05-22T06:45:20.556Z</dcterms:created>
  <dcterms:modified xsi:type="dcterms:W3CDTF">2026-05-22T06:45:20.556Z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