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2240" w:type="dxa"/>
        <w:jc w:val="left"/>
        <w:tblInd w:w="0" w:type="dxa"/>
        <w:tblLayout w:type="fixed"/>
        <w:tblCellMar>
          <w:top w:w="800" w:type="dxa"/>
          <w:left w:w="1440" w:type="dxa"/>
          <w:bottom w:w="0" w:type="dxa"/>
          <w:right w:w="1440" w:type="dxa"/>
        </w:tblCellMar>
      </w:tblPr>
      <w:tblGrid>
        <w:gridCol w:w="2448"/>
        <w:gridCol w:w="2448"/>
        <w:gridCol w:w="2448"/>
        <w:gridCol w:w="2448"/>
        <w:gridCol w:w="2448"/>
      </w:tblGrid>
      <w:tr>
        <w:trPr>
          <w:trHeight w:val="3200" w:hRule="exact"/>
        </w:trPr>
        <w:tc>
          <w:tcPr>
            <w:tcW w:w="12240" w:type="dxa"/>
            <w:gridSpan w:val="5"/>
            <w:tcBorders/>
            <w:shd w:fill="1A3A5C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72"/>
                <w:szCs w:val="72"/>
              </w:rPr>
              <w:t>ALPHABREIN</w:t>
            </w:r>
          </w:p>
          <w:p>
            <w:pPr>
              <w:pStyle w:val="Normal"/>
              <w:spacing w:before="100" w:after="0"/>
              <w:jc w:val="left"/>
              <w:rPr>
                <w:color w:val="EEEEEE"/>
              </w:rPr>
            </w:pPr>
            <w:r>
              <w:rPr>
                <w:rFonts w:eastAsia="Arial" w:cs="Arial"/>
                <w:b w:val="false"/>
                <w:bCs w:val="false"/>
                <w:color w:val="EEEEEE"/>
                <w:sz w:val="28"/>
                <w:szCs w:val="28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4806950</wp:posOffset>
                  </wp:positionH>
                  <wp:positionV relativeFrom="paragraph">
                    <wp:posOffset>-1033780</wp:posOffset>
                  </wp:positionV>
                  <wp:extent cx="2051050" cy="2051050"/>
                  <wp:effectExtent l="0" t="0" r="0" b="0"/>
                  <wp:wrapSquare wrapText="largest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050" cy="205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rial" w:cs="Arial"/>
                <w:b w:val="false"/>
                <w:bCs w:val="false"/>
                <w:color w:val="EEEEEE"/>
                <w:sz w:val="28"/>
                <w:szCs w:val="28"/>
              </w:rPr>
              <w:t>Asistente Jurídico Laboral Colombiano</w:t>
            </w:r>
          </w:p>
        </w:tc>
      </w:tr>
      <w:tr>
        <w:trPr>
          <w:trHeight w:val="7200" w:hRule="exact"/>
        </w:trPr>
        <w:tc>
          <w:tcPr>
            <w:tcW w:w="12240" w:type="dxa"/>
            <w:gridSpan w:val="5"/>
            <w:tcBorders/>
            <w:shd w:fill="F0F4F8" w:val="clear"/>
            <w:tcMar>
              <w:top w:w="1200" w:type="dxa"/>
            </w:tcMar>
            <w:vAlign w:val="center"/>
          </w:tcPr>
          <w:p>
            <w:pPr>
              <w:pStyle w:val="Normal"/>
              <w:spacing w:before="0" w:after="200"/>
              <w:jc w:val="left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8"/>
                <w:szCs w:val="28"/>
              </w:rPr>
              <w:t>DOCUMENTO TÉCNICO DE ESPECIFICACIÓN DEL SISTEMA</w:t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W w:w="9360" w:type="dxa"/>
              <w:jc w:val="left"/>
              <w:tblInd w:w="0" w:type="dxa"/>
              <w:tblLayout w:type="fixed"/>
              <w:tblCellMar>
                <w:top w:w="100" w:type="dxa"/>
                <w:left w:w="150" w:type="dxa"/>
                <w:bottom w:w="100" w:type="dxa"/>
                <w:right w:w="150" w:type="dxa"/>
              </w:tblCellMar>
            </w:tblPr>
            <w:tblGrid>
              <w:gridCol w:w="2799"/>
              <w:gridCol w:w="6560"/>
            </w:tblGrid>
            <w:tr>
              <w:trPr/>
              <w:tc>
                <w:tcPr>
                  <w:tcW w:w="2799" w:type="dxa"/>
                  <w:tcBorders>
                    <w:top w:val="single" w:sz="2" w:space="0" w:color="C5D5E8"/>
                    <w:left w:val="single" w:sz="2" w:space="0" w:color="C5D5E8"/>
                    <w:bottom w:val="single" w:sz="2" w:space="0" w:color="C5D5E8"/>
                    <w:right w:val="single" w:sz="2" w:space="0" w:color="C5D5E8"/>
                  </w:tcBorders>
                  <w:shd w:fill="D6E4F0" w:val="clear"/>
                </w:tcPr>
                <w:p>
                  <w:pPr>
                    <w:pStyle w:val="Normal"/>
                    <w:rPr>
                      <w:color w:val="000000"/>
                    </w:rPr>
                  </w:pPr>
                  <w:r>
                    <w:rPr>
                      <w:rFonts w:eastAsia="Arial" w:cs="Arial"/>
                      <w:b/>
                      <w:bCs/>
                      <w:color w:val="000000"/>
                      <w:sz w:val="20"/>
                      <w:szCs w:val="20"/>
                    </w:rPr>
                    <w:t>Versión</w:t>
                  </w:r>
                </w:p>
              </w:tc>
              <w:tc>
                <w:tcPr>
                  <w:tcW w:w="6560" w:type="dxa"/>
                  <w:tcBorders>
                    <w:top w:val="single" w:sz="2" w:space="0" w:color="C5D5E8"/>
                    <w:left w:val="single" w:sz="2" w:space="0" w:color="C5D5E8"/>
                    <w:bottom w:val="single" w:sz="2" w:space="0" w:color="C5D5E8"/>
                    <w:right w:val="single" w:sz="2" w:space="0" w:color="C5D5E8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color w:val="2C2C2C"/>
                      <w:sz w:val="20"/>
                      <w:szCs w:val="20"/>
                    </w:rPr>
                    <w:t>1.0.0</w:t>
                  </w:r>
                </w:p>
              </w:tc>
            </w:tr>
            <w:tr>
              <w:trPr/>
              <w:tc>
                <w:tcPr>
                  <w:tcW w:w="2799" w:type="dxa"/>
                  <w:tcBorders>
                    <w:top w:val="single" w:sz="2" w:space="0" w:color="C5D5E8"/>
                    <w:left w:val="single" w:sz="2" w:space="0" w:color="C5D5E8"/>
                    <w:bottom w:val="single" w:sz="2" w:space="0" w:color="C5D5E8"/>
                    <w:right w:val="single" w:sz="2" w:space="0" w:color="C5D5E8"/>
                  </w:tcBorders>
                  <w:shd w:fill="D6E4F0" w:val="clear"/>
                </w:tcPr>
                <w:p>
                  <w:pPr>
                    <w:pStyle w:val="Normal"/>
                    <w:rPr>
                      <w:color w:val="000000"/>
                    </w:rPr>
                  </w:pPr>
                  <w:r>
                    <w:rPr>
                      <w:rFonts w:eastAsia="Arial" w:cs="Arial"/>
                      <w:b/>
                      <w:bCs/>
                      <w:color w:val="000000"/>
                      <w:sz w:val="20"/>
                      <w:szCs w:val="20"/>
                    </w:rPr>
                    <w:t>Fecha de emisión</w:t>
                  </w:r>
                </w:p>
              </w:tc>
              <w:tc>
                <w:tcPr>
                  <w:tcW w:w="6560" w:type="dxa"/>
                  <w:tcBorders>
                    <w:top w:val="single" w:sz="2" w:space="0" w:color="C5D5E8"/>
                    <w:left w:val="single" w:sz="2" w:space="0" w:color="C5D5E8"/>
                    <w:bottom w:val="single" w:sz="2" w:space="0" w:color="C5D5E8"/>
                    <w:right w:val="single" w:sz="2" w:space="0" w:color="C5D5E8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color w:val="2C2C2C"/>
                      <w:sz w:val="20"/>
                      <w:szCs w:val="20"/>
                    </w:rPr>
                    <w:t>Mayo 2025</w:t>
                  </w:r>
                </w:p>
              </w:tc>
            </w:tr>
            <w:tr>
              <w:trPr/>
              <w:tc>
                <w:tcPr>
                  <w:tcW w:w="2799" w:type="dxa"/>
                  <w:tcBorders>
                    <w:top w:val="single" w:sz="2" w:space="0" w:color="C5D5E8"/>
                    <w:left w:val="single" w:sz="2" w:space="0" w:color="C5D5E8"/>
                    <w:bottom w:val="single" w:sz="2" w:space="0" w:color="C5D5E8"/>
                    <w:right w:val="single" w:sz="2" w:space="0" w:color="C5D5E8"/>
                  </w:tcBorders>
                  <w:shd w:fill="D6E4F0" w:val="clear"/>
                </w:tcPr>
                <w:p>
                  <w:pPr>
                    <w:pStyle w:val="Normal"/>
                    <w:rPr>
                      <w:color w:val="000000"/>
                    </w:rPr>
                  </w:pPr>
                  <w:r>
                    <w:rPr>
                      <w:rFonts w:eastAsia="Arial" w:cs="Arial"/>
                      <w:b/>
                      <w:bCs/>
                      <w:color w:val="000000"/>
                      <w:sz w:val="20"/>
                      <w:szCs w:val="20"/>
                    </w:rPr>
                    <w:t>Clasificación</w:t>
                  </w:r>
                </w:p>
              </w:tc>
              <w:tc>
                <w:tcPr>
                  <w:tcW w:w="6560" w:type="dxa"/>
                  <w:tcBorders>
                    <w:top w:val="single" w:sz="2" w:space="0" w:color="C5D5E8"/>
                    <w:left w:val="single" w:sz="2" w:space="0" w:color="C5D5E8"/>
                    <w:bottom w:val="single" w:sz="2" w:space="0" w:color="C5D5E8"/>
                    <w:right w:val="single" w:sz="2" w:space="0" w:color="C5D5E8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color w:val="2C2C2C"/>
                      <w:sz w:val="20"/>
                      <w:szCs w:val="20"/>
                    </w:rPr>
                    <w:t xml:space="preserve">Documento Técnico </w:t>
                  </w:r>
                </w:p>
              </w:tc>
            </w:tr>
            <w:tr>
              <w:trPr/>
              <w:tc>
                <w:tcPr>
                  <w:tcW w:w="2799" w:type="dxa"/>
                  <w:tcBorders>
                    <w:top w:val="single" w:sz="2" w:space="0" w:color="C5D5E8"/>
                    <w:left w:val="single" w:sz="2" w:space="0" w:color="C5D5E8"/>
                    <w:bottom w:val="single" w:sz="2" w:space="0" w:color="C5D5E8"/>
                    <w:right w:val="single" w:sz="2" w:space="0" w:color="C5D5E8"/>
                  </w:tcBorders>
                  <w:shd w:fill="D6E4F0" w:val="clear"/>
                </w:tcPr>
                <w:p>
                  <w:pPr>
                    <w:pStyle w:val="Normal"/>
                    <w:rPr>
                      <w:color w:val="000000"/>
                    </w:rPr>
                  </w:pPr>
                  <w:r>
                    <w:rPr>
                      <w:rFonts w:eastAsia="Arial" w:cs="Arial"/>
                      <w:b/>
                      <w:bCs/>
                      <w:color w:val="000000"/>
                      <w:sz w:val="20"/>
                      <w:szCs w:val="20"/>
                    </w:rPr>
                    <w:t>Dominio</w:t>
                  </w:r>
                </w:p>
              </w:tc>
              <w:tc>
                <w:tcPr>
                  <w:tcW w:w="6560" w:type="dxa"/>
                  <w:tcBorders>
                    <w:top w:val="single" w:sz="2" w:space="0" w:color="C5D5E8"/>
                    <w:left w:val="single" w:sz="2" w:space="0" w:color="C5D5E8"/>
                    <w:bottom w:val="single" w:sz="2" w:space="0" w:color="C5D5E8"/>
                    <w:right w:val="single" w:sz="2" w:space="0" w:color="C5D5E8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color w:val="2C2C2C"/>
                      <w:sz w:val="20"/>
                      <w:szCs w:val="20"/>
                    </w:rPr>
                    <w:t>Derecho Laboral Colombiano</w:t>
                  </w:r>
                </w:p>
              </w:tc>
            </w:tr>
            <w:tr>
              <w:trPr/>
              <w:tc>
                <w:tcPr>
                  <w:tcW w:w="2799" w:type="dxa"/>
                  <w:tcBorders>
                    <w:top w:val="single" w:sz="2" w:space="0" w:color="C5D5E8"/>
                    <w:left w:val="single" w:sz="2" w:space="0" w:color="C5D5E8"/>
                    <w:bottom w:val="single" w:sz="2" w:space="0" w:color="C5D5E8"/>
                    <w:right w:val="single" w:sz="2" w:space="0" w:color="C5D5E8"/>
                  </w:tcBorders>
                  <w:shd w:fill="D6E4F0" w:val="clear"/>
                </w:tcPr>
                <w:p>
                  <w:pPr>
                    <w:pStyle w:val="Normal"/>
                    <w:rPr>
                      <w:color w:val="000000"/>
                    </w:rPr>
                  </w:pPr>
                  <w:r>
                    <w:rPr>
                      <w:rFonts w:eastAsia="Arial" w:cs="Arial"/>
                      <w:b/>
                      <w:bCs/>
                      <w:color w:val="000000"/>
                      <w:sz w:val="20"/>
                      <w:szCs w:val="20"/>
                    </w:rPr>
                    <w:t>Arquitectura</w:t>
                  </w:r>
                </w:p>
              </w:tc>
              <w:tc>
                <w:tcPr>
                  <w:tcW w:w="6560" w:type="dxa"/>
                  <w:tcBorders>
                    <w:top w:val="single" w:sz="2" w:space="0" w:color="C5D5E8"/>
                    <w:left w:val="single" w:sz="2" w:space="0" w:color="C5D5E8"/>
                    <w:bottom w:val="single" w:sz="2" w:space="0" w:color="C5D5E8"/>
                    <w:right w:val="single" w:sz="2" w:space="0" w:color="C5D5E8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color w:val="2C2C2C"/>
                      <w:sz w:val="20"/>
                      <w:szCs w:val="20"/>
                    </w:rPr>
                    <w:t>Backend Java / Spring Boot + Frontend React</w:t>
                  </w:r>
                </w:p>
              </w:tc>
            </w:tr>
          </w:tbl>
          <w:p>
            <w:pPr>
              <w:pStyle w:val="Normal"/>
              <w:spacing w:before="600" w:after="0"/>
              <w:rPr/>
            </w:pPr>
            <w:r>
              <w:rPr/>
            </w:r>
          </w:p>
          <w:p>
            <w:pPr>
              <w:pStyle w:val="Normal"/>
              <w:jc w:val="left"/>
              <w:rPr>
                <w:rFonts w:ascii="Arial" w:hAnsi="Arial" w:eastAsia="Arial" w:cs="Arial"/>
                <w:i/>
                <w:i/>
                <w:iCs/>
                <w:color w:val="555555"/>
                <w:sz w:val="18"/>
                <w:szCs w:val="18"/>
              </w:rPr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2448" w:type="dxa"/>
            <w:tcBorders/>
            <w:shd w:fill="1A3A5C" w:val="clear"/>
            <w:tcMar>
              <w:top w:w="0" w:type="dxa"/>
              <w:left w:w="108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48" w:type="dxa"/>
            <w:tcBorders/>
            <w:shd w:fill="2E6DA4" w:val="clear"/>
            <w:tcMar>
              <w:top w:w="0" w:type="dxa"/>
              <w:left w:w="108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48" w:type="dxa"/>
            <w:tcBorders/>
            <w:shd w:fill="4A90D9" w:val="clear"/>
            <w:tcMar>
              <w:top w:w="0" w:type="dxa"/>
              <w:left w:w="108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48" w:type="dxa"/>
            <w:tcBorders/>
            <w:shd w:fill="D6E4F0" w:val="clear"/>
            <w:tcMar>
              <w:top w:w="0" w:type="dxa"/>
              <w:left w:w="108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48" w:type="dxa"/>
            <w:tcBorders/>
            <w:shd w:fill="2E6DA4" w:val="clear"/>
            <w:tcMar>
              <w:top w:w="0" w:type="dxa"/>
              <w:left w:w="108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sectPr>
          <w:type w:val="nextPage"/>
          <w:pgSz w:w="12240" w:h="15840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Heading1"/>
        <w:pBdr>
          <w:bottom w:val="single" w:sz="8" w:space="6" w:color="2E6DA4"/>
        </w:pBdr>
        <w:spacing w:before="360" w:after="1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 xml:space="preserve">1. 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>Introducción</w:t>
      </w:r>
      <w:r>
        <w:rPr>
          <w:rFonts w:eastAsia="Arial" w:cs="Arial" w:ascii="Arial" w:hAnsi="Arial"/>
          <w:b/>
          <w:bCs/>
          <w:color w:val="000000"/>
          <w:sz w:val="32"/>
          <w:szCs w:val="32"/>
        </w:rPr>
        <w:t xml:space="preserve"> </w:t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color w:val="2C2C2C"/>
          <w:sz w:val="22"/>
          <w:szCs w:val="22"/>
        </w:rPr>
        <w:t>AlphaBrein es una plataforma de asistencia jurídica especializada en el ámbito laboral colombiano. Su diseño combina una arquitectura backend robusta con capacidades de inteligencia conversacional, permitiendo a los usuarios obtener orientación fundamentada en la normativa laboral vigente de Colombia.</w:t>
      </w:r>
    </w:p>
    <w:p>
      <w:pPr>
        <w:pStyle w:val="Normal"/>
        <w:spacing w:before="60" w:after="60"/>
        <w:rPr/>
      </w:pPr>
      <w:r>
        <w:rPr/>
      </w:r>
    </w:p>
    <w:p>
      <w:pPr>
        <w:pStyle w:val="BodyText"/>
        <w:spacing w:lineRule="exact" w:line="320" w:before="80" w:after="80"/>
        <w:jc w:val="both"/>
        <w:rPr/>
      </w:pPr>
      <w:r>
        <w:rPr>
          <w:rFonts w:eastAsia="Arial" w:cs="Arial"/>
          <w:color w:val="2C2C2C"/>
          <w:sz w:val="22"/>
          <w:szCs w:val="22"/>
        </w:rPr>
        <w:t>El sistema implementa mecanismos de autenticación y autorización mediante JWT (JSON Web Token), cifrado de contraseñas con bcrypt y persistencia de datos a través de PostgreSQL desplegado en Neon DB. Adicionalmente, se integró n8n como motor de automatización y orquestación de flujos conversacionales, permitiendo incorporar memoria contextual, gestión de sesiones, historial de conversaciones y almacenamiento persistente de mensajes, garantizando continuidad, trazabilidad y seguimiento en cada interacción realizada por el usuario.</w:t>
      </w:r>
    </w:p>
    <w:p>
      <w:pPr>
        <w:pStyle w:val="BodyText"/>
        <w:rPr/>
      </w:pPr>
      <w:r>
        <w:rPr/>
        <w:t>Para el procesamiento de lenguaje natural y generación de respuestas inteligentes, el asistente utiliza la API oficial de Google Gemini, específicamente el modelo LLM Google Gemini 2.5 Flash, el cual permite ofrecer respuestas contextualizadas, rápidas y orientadas al ámbito jurídico laboral colombiano.</w:t>
      </w:r>
    </w:p>
    <w:p>
      <w:pPr>
        <w:pStyle w:val="Normal"/>
        <w:spacing w:lineRule="exact" w:line="320" w:before="80" w:after="80"/>
        <w:jc w:val="both"/>
        <w:rPr>
          <w:rFonts w:ascii="Arial" w:hAnsi="Arial" w:eastAsia="Arial" w:cs="Arial"/>
          <w:color w:val="2C2C2C"/>
          <w:sz w:val="22"/>
          <w:szCs w:val="22"/>
        </w:rPr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50" w:type="dxa"/>
          <w:left w:w="180" w:type="dxa"/>
          <w:bottom w:w="150" w:type="dxa"/>
          <w:right w:w="18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D6E4F0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Seguridad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9"/>
                <w:szCs w:val="19"/>
              </w:rPr>
              <w:t>Autenticación JWT y cifrado bcrypt para protección total de credenciales.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D6E4F0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Continuidad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9"/>
                <w:szCs w:val="19"/>
              </w:rPr>
              <w:t>Memoria conversacional persistente con historial completo de sesiones.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D6E4F0" w:val="clear"/>
          </w:tcPr>
          <w:p>
            <w:pPr>
              <w:pStyle w:val="Normal"/>
              <w:spacing w:before="0" w:after="80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Especialización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9"/>
                <w:szCs w:val="19"/>
              </w:rPr>
              <w:t>Enfocado exclusivamente en derecho laboral colombiano.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8" w:space="6" w:color="2E6DA4"/>
        </w:pBdr>
        <w:spacing w:before="360" w:after="1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2. Descripción General del Sistema</w:t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2.1 Objetivo</w:t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color w:val="2C2C2C"/>
          <w:sz w:val="22"/>
          <w:szCs w:val="22"/>
        </w:rPr>
        <w:t>AlphaBrein tiene como propósito proporcionar a usuarios, abogados, trabajadores y empresas una herramienta de consulta jurídica laboral confiable, disponible y segura. El sistema responde consultas sobre legislación laboral colombiana, interpretá normas del Código Sustantivo del Trabajo, decretos y jurisprudencia relevante.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2.2 Alcance Funcional</w:t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color w:val="2C2C2C"/>
          <w:sz w:val="22"/>
          <w:szCs w:val="22"/>
        </w:rPr>
        <w:t>El sistema abarca los siguientes módulos funcionales: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2C2C2C"/>
          <w:sz w:val="22"/>
          <w:szCs w:val="22"/>
        </w:rPr>
        <w:t>Registro y autenticación de usuarios con cifrado seguro de credenciales.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C2C2C"/>
          <w:sz w:val="22"/>
          <w:szCs w:val="22"/>
        </w:rPr>
        <w:t>Gestión de sesiones de chat con persistencia y memoria conversacional.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C2C2C"/>
          <w:sz w:val="22"/>
          <w:szCs w:val="22"/>
        </w:rPr>
        <w:t>Procesamiento de consultas jurídicas laborales mediante agente de IA.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C2C2C"/>
          <w:sz w:val="22"/>
          <w:szCs w:val="22"/>
        </w:rPr>
        <w:t>Historial de conversaciones con capacidad de recuperación por sesión.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C2C2C"/>
          <w:sz w:val="22"/>
          <w:szCs w:val="22"/>
        </w:rPr>
        <w:t>API RESTful documentada para integración con sistemas externos.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8" w:space="6" w:color="2E6DA4"/>
        </w:pBdr>
        <w:spacing w:before="360" w:after="1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3. Arquitectura del Sistema</w:t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3.1 Visión General</w:t>
      </w:r>
    </w:p>
    <w:p>
      <w:pPr>
        <w:pStyle w:val="Normal"/>
        <w:spacing w:lineRule="exact" w:line="320" w:before="80" w:after="8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La arquitectura sigue el patrón cliente-servidor con separación clara de responsabilidades entre el frontend React y el backend Spring Boot. La comunicación se realiza única y exclusivamente mediante una API RESTful protegida por tokens JWT.</w:t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3.2 Componentes Principales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6DA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6DA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6DA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Frontend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React + Vite + Tailwind CSS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Interfaz de usuario y experiencia conversacional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Backend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Java 17 + Spring Boot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Lógica de negocio y exposición de API REST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Seguridad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Spring Security + JWT + bcrypt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Autenticación, autorización y cifrado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Base de datos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PostgreSQL en Neon DB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Persistencia de usuarios, sesiones y mensajes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Agente IA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n8n (integración externa)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Procesamiento de consultas jurídicas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>
          <w:b/>
          <w:bCs/>
        </w:rPr>
      </w:pPr>
      <w:r>
        <w:rPr>
          <w:b/>
          <w:bCs/>
        </w:rPr>
        <w:t>Configuración modelo y API key:</w:t>
      </w:r>
    </w:p>
    <w:p>
      <w:pPr>
        <w:pStyle w:val="Normal"/>
        <w:spacing w:before="60" w:after="6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60" w:after="60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2719705"/>
            <wp:effectExtent l="0" t="0" r="0" b="0"/>
            <wp:wrapSquare wrapText="largest"/>
            <wp:docPr id="2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80" w:after="120"/>
        <w:rPr>
          <w:rFonts w:ascii="Arial" w:hAnsi="Arial" w:eastAsia="Arial" w:cs="Arial"/>
          <w:b/>
          <w:bCs/>
          <w:sz w:val="26"/>
          <w:szCs w:val="26"/>
        </w:rPr>
      </w:pPr>
      <w:r>
        <w:rPr>
          <w:color w:val="000000"/>
        </w:rPr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Work flow:</w:t>
      </w:r>
    </w:p>
    <w:p>
      <w:pPr>
        <w:pStyle w:val="Heading2"/>
        <w:spacing w:before="280" w:after="120"/>
        <w:rPr>
          <w:rFonts w:ascii="Arial" w:hAnsi="Arial" w:eastAsia="Arial" w:cs="Arial"/>
          <w:b/>
          <w:bCs/>
          <w:sz w:val="26"/>
          <w:szCs w:val="26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2719705"/>
            <wp:effectExtent l="0" t="0" r="0" b="0"/>
            <wp:wrapSquare wrapText="largest"/>
            <wp:docPr id="3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Configuracion persistencia de datos:</w:t>
      </w:r>
    </w:p>
    <w:p>
      <w:pPr>
        <w:pStyle w:val="Heading2"/>
        <w:spacing w:before="280" w:after="120"/>
        <w:rPr>
          <w:rFonts w:ascii="Arial" w:hAnsi="Arial" w:eastAsia="Arial" w:cs="Arial"/>
          <w:b/>
          <w:bCs/>
          <w:sz w:val="26"/>
          <w:szCs w:val="26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2719705"/>
            <wp:effectExtent l="0" t="0" r="0" b="0"/>
            <wp:wrapSquare wrapText="largest"/>
            <wp:docPr id="4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80" w:after="120"/>
        <w:rPr>
          <w:rFonts w:ascii="Arial" w:hAnsi="Arial" w:eastAsia="Arial" w:cs="Arial"/>
          <w:b/>
          <w:bCs/>
          <w:sz w:val="26"/>
          <w:szCs w:val="26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2719705"/>
            <wp:effectExtent l="0" t="0" r="0" b="0"/>
            <wp:wrapSquare wrapText="largest"/>
            <wp:docPr id="5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Configuracion y contextualizacion del agente:</w:t>
        <w:br/>
      </w:r>
    </w:p>
    <w:p>
      <w:pPr>
        <w:pStyle w:val="Heading2"/>
        <w:spacing w:before="280" w:after="120"/>
        <w:rPr>
          <w:rFonts w:ascii="Arial" w:hAnsi="Arial" w:eastAsia="Arial" w:cs="Arial"/>
          <w:b/>
          <w:bCs/>
          <w:sz w:val="26"/>
          <w:szCs w:val="26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2719705"/>
            <wp:effectExtent l="0" t="0" r="0" b="0"/>
            <wp:wrapSquare wrapText="largest"/>
            <wp:docPr id="6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3.3 Flujo de Autenticación</w:t>
      </w:r>
    </w:p>
    <w:p>
      <w:pPr>
        <w:pStyle w:val="Normal"/>
        <w:spacing w:lineRule="exact" w:line="320" w:before="80" w:after="8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El proceso de autenticación sigue el siguiente flujo estandarizado:</w:t>
      </w:r>
    </w:p>
    <w:p>
      <w:pPr>
        <w:pStyle w:val="ListParagraph"/>
        <w:numPr>
          <w:ilvl w:val="0"/>
          <w:numId w:val="1"/>
        </w:numPr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El cliente envía las credenciales (email y contraseña) al endpoint de login.</w:t>
      </w:r>
    </w:p>
    <w:p>
      <w:pPr>
        <w:pStyle w:val="ListParagraph"/>
        <w:numPr>
          <w:ilvl w:val="0"/>
          <w:numId w:val="1"/>
        </w:numPr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El backend valida las credenciales contra la base de datos PostgreSQL.</w:t>
      </w:r>
    </w:p>
    <w:p>
      <w:pPr>
        <w:pStyle w:val="ListParagraph"/>
        <w:numPr>
          <w:ilvl w:val="0"/>
          <w:numId w:val="1"/>
        </w:numPr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Tras validación exitosa, se genera un token JWT firmado con clave secreta.</w:t>
      </w:r>
    </w:p>
    <w:p>
      <w:pPr>
        <w:pStyle w:val="ListParagraph"/>
        <w:numPr>
          <w:ilvl w:val="0"/>
          <w:numId w:val="1"/>
        </w:numPr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El cliente almacena el token y lo envía en el encabezado Authorization en cada solicitud.</w:t>
      </w:r>
    </w:p>
    <w:p>
      <w:pPr>
        <w:pStyle w:val="ListParagraph"/>
        <w:numPr>
          <w:ilvl w:val="0"/>
          <w:numId w:val="1"/>
        </w:numPr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Spring Security intercepta y valida el token en cada petición protegida.</w:t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p>
      <w:pPr>
        <w:pStyle w:val="Heading1"/>
        <w:pBdr>
          <w:bottom w:val="single" w:sz="8" w:space="6" w:color="2E6DA4"/>
        </w:pBdr>
        <w:spacing w:before="360" w:after="1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4. Stack Tecnológico</w:t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4.1 Backend</w:t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6DA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6DA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6DA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Java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17 LTS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Lenguaje de programación principal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Spring Boot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3.x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Framework de aplicación empresarial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Spring Security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6.x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Gestión de seguridad y control de acceso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JWT (JJWT)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0.11+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Generación y validación de tokens de sesion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bcrypt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Cifrado seguro de contraseñas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PostgreSQL (Neon DB)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15+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Base de datos relacional en la nube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Maven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3.x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Gestión de dependencias y ciclo de vida del proyecto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4.2 Frontend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6DA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679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6DA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>
        <w:trPr/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React 18</w:t>
            </w:r>
          </w:p>
        </w:tc>
        <w:tc>
          <w:tcPr>
            <w:tcW w:w="4679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Biblioteca de interfaz de usuario reactiva</w:t>
            </w:r>
          </w:p>
        </w:tc>
      </w:tr>
      <w:tr>
        <w:trPr/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Vite</w:t>
            </w:r>
          </w:p>
        </w:tc>
        <w:tc>
          <w:tcPr>
            <w:tcW w:w="4679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Empaquetador y servidor de desarrollo rápido</w:t>
            </w:r>
          </w:p>
        </w:tc>
      </w:tr>
      <w:tr>
        <w:trPr/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Tailwind CSS</w:t>
            </w:r>
          </w:p>
        </w:tc>
        <w:tc>
          <w:tcPr>
            <w:tcW w:w="4679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Framework CSS utilitario para diseño responsivo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8" w:space="6" w:color="2E6DA4"/>
        </w:pBdr>
        <w:spacing w:before="360" w:after="1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5. Estructura del Repositorio</w:t>
      </w:r>
    </w:p>
    <w:p>
      <w:pPr>
        <w:pStyle w:val="Normal"/>
        <w:spacing w:lineRule="exact" w:line="320" w:before="80" w:after="8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El repositorio está organizado en dos subproyectos independientes que pueden desarrollarse y desplegarse de forma autónoma:</w:t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p>
      <w:pPr>
        <w:pStyle w:val="Heading1"/>
        <w:pBdr>
          <w:bottom w:val="single" w:sz="8" w:space="6" w:color="2E6DA4"/>
        </w:pBdr>
        <w:spacing w:before="360" w:after="1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6. Configuración y Despliegue</w:t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6.1 Requisitos Previos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6DA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6DA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Versión Mínima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6DA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Java JDK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17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Entorno de ejecución Java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Apache Maven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3.8+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Herramienta de construcción del backend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Node.js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18+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Entorno de ejecución para el frontend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npm / yarn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9+ / 1.22+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Gestor de paquetes JavaScript</w:t>
            </w:r>
          </w:p>
        </w:tc>
      </w:tr>
      <w:tr>
        <w:trPr/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PostgreSQL (Neon DB)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15+</w:t>
            </w:r>
          </w:p>
        </w:tc>
        <w:tc>
          <w:tcPr>
            <w:tcW w:w="312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Instancia de base de datos activa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6.2 Backend</w:t>
      </w:r>
    </w:p>
    <w:p>
      <w:pPr>
        <w:pStyle w:val="Normal"/>
        <w:spacing w:lineRule="exact" w:line="320" w:before="80" w:after="8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Siga los pasos indicados para poner en marcha el servicio backend:</w:t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Paso 1 — Configure la conexión a la base de datos en el archivo: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2" w:space="0" w:color="4A90D9"/>
              <w:bottom w:val="single" w:sz="2" w:space="0" w:color="C5D5E8"/>
              <w:right w:val="single" w:sz="2" w:space="0" w:color="C5D5E8"/>
            </w:tcBorders>
            <w:shd w:fill="1E1E2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bcrypt2025-springboot/src/main/resources/application.properties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Paso 2 — Compile el proyecto: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2" w:space="0" w:color="4A90D9"/>
              <w:bottom w:val="single" w:sz="2" w:space="0" w:color="C5D5E8"/>
              <w:right w:val="single" w:sz="2" w:space="0" w:color="C5D5E8"/>
            </w:tcBorders>
            <w:shd w:fill="1E1E2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./mvnw clean package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Paso 3 — Inicie la aplicación: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2" w:space="0" w:color="4A90D9"/>
              <w:bottom w:val="single" w:sz="2" w:space="0" w:color="C5D5E8"/>
              <w:right w:val="single" w:sz="2" w:space="0" w:color="C5D5E8"/>
            </w:tcBorders>
            <w:shd w:fill="1E1E2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./mvnw spring-boot:run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color w:val="2C2C2C"/>
          <w:sz w:val="22"/>
          <w:szCs w:val="22"/>
        </w:rPr>
        <w:t>La API quedará disponible en: http://localhost:8080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2719705"/>
            <wp:effectExtent l="0" t="0" r="0" b="0"/>
            <wp:wrapSquare wrapText="largest"/>
            <wp:docPr id="7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6DA4"/>
          <w:sz w:val="26"/>
          <w:szCs w:val="26"/>
        </w:rPr>
        <w:t>6.3 Frontend</w:t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Paso 1 — Instale las dependencias: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2" w:space="0" w:color="4A90D9"/>
              <w:bottom w:val="single" w:sz="2" w:space="0" w:color="C5D5E8"/>
              <w:right w:val="single" w:sz="2" w:space="0" w:color="C5D5E8"/>
            </w:tcBorders>
            <w:shd w:fill="1E1E2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cd bcrypt2025-front-end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npm install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Paso 2 — Inicie el servidor de desarrollo: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2" w:space="0" w:color="4A90D9"/>
              <w:bottom w:val="single" w:sz="2" w:space="0" w:color="C5D5E8"/>
              <w:right w:val="single" w:sz="2" w:space="0" w:color="C5D5E8"/>
            </w:tcBorders>
            <w:shd w:fill="1E1E2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npm run dev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color w:val="2C2C2C"/>
          <w:sz w:val="22"/>
          <w:szCs w:val="22"/>
        </w:rPr>
        <w:t>El frontend se ejecutará en: http://localhost:5173 (puerto por defecto de Vite)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8" w:space="6" w:color="2E6DA4"/>
        </w:pBdr>
        <w:spacing w:before="360" w:after="1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7. Especificación de la API REST</w:t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7.1 Autenticación</w:t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color w:val="2C2C2C"/>
          <w:sz w:val="22"/>
          <w:szCs w:val="22"/>
        </w:rPr>
        <w:t>Todos los endpoints protegidos requieren el encabezado: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2" w:space="0" w:color="4A90D9"/>
              <w:bottom w:val="single" w:sz="2" w:space="0" w:color="C5D5E8"/>
              <w:right w:val="single" w:sz="2" w:space="0" w:color="C5D5E8"/>
            </w:tcBorders>
            <w:shd w:fill="1E1E2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Authorization: Bearer {token_jwt}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C2C2C"/>
          <w:sz w:val="22"/>
          <w:szCs w:val="22"/>
        </w:rPr>
        <w:t>7.1.1 Registro de Usuario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7D3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A5C"/>
                <w:sz w:val="20"/>
                <w:szCs w:val="20"/>
              </w:rPr>
              <w:t>/api/auth/register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Crea una nueva cuenta de usuario con contraseña cifrada.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2719705"/>
            <wp:effectExtent l="0" t="0" r="0" b="0"/>
            <wp:wrapSquare wrapText="largest"/>
            <wp:docPr id="8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color w:val="2C2C2C"/>
          <w:sz w:val="22"/>
          <w:szCs w:val="22"/>
        </w:rPr>
        <w:t>Cuerpo de la solicitud (JSON):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2" w:space="0" w:color="4A90D9"/>
              <w:bottom w:val="single" w:sz="2" w:space="0" w:color="C5D5E8"/>
              <w:right w:val="single" w:sz="2" w:space="0" w:color="C5D5E8"/>
            </w:tcBorders>
            <w:shd w:fill="1E1E2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"firstName":          "Breiner",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"lastName":           "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Martinez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"idCard":              1234567890,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"identificationType": "CC",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"email":              "breiner@example.com",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"password":           "password123",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"phoneNumber":        "3005551234",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"direction":          "Calle 1 #2-3"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color w:val="2C2C2C"/>
          <w:sz w:val="22"/>
          <w:szCs w:val="22"/>
        </w:rPr>
        <w:t>Respuesta exitosa (200 OK):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2" w:space="0" w:color="4A90D9"/>
              <w:bottom w:val="single" w:sz="2" w:space="0" w:color="C5D5E8"/>
              <w:right w:val="single" w:sz="2" w:space="0" w:color="C5D5E8"/>
            </w:tcBorders>
            <w:shd w:fill="1E1E2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"token":   "eyJhbGciOiJIUzI1NiIsIn...",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"message": "Usuario registrado exitosamente"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C2C2C"/>
          <w:sz w:val="22"/>
          <w:szCs w:val="22"/>
        </w:rPr>
        <w:t>7.1.2 Inicio de Sesión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7D3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A5C"/>
                <w:sz w:val="20"/>
                <w:szCs w:val="20"/>
              </w:rPr>
              <w:t>/api/auth/login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Autentica al usuario y devuelve un token JWT válido.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lineRule="exact" w:line="320" w:before="80" w:after="80"/>
        <w:jc w:val="both"/>
        <w:rPr>
          <w:rFonts w:ascii="Arial" w:hAnsi="Arial" w:eastAsia="Arial" w:cs="Arial"/>
          <w:color w:val="2C2C2C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2719705"/>
            <wp:effectExtent l="0" t="0" r="0" b="0"/>
            <wp:wrapSquare wrapText="largest"/>
            <wp:docPr id="9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color w:val="2C2C2C"/>
          <w:sz w:val="22"/>
          <w:szCs w:val="22"/>
        </w:rPr>
        <w:t>Cuerpo de la solicitud (JSON):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2" w:space="0" w:color="4A90D9"/>
              <w:bottom w:val="single" w:sz="2" w:space="0" w:color="C5D5E8"/>
              <w:right w:val="single" w:sz="2" w:space="0" w:color="C5D5E8"/>
            </w:tcBorders>
            <w:shd w:fill="1E1E2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"email":    "breiner@example.com",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"password": "password123"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color w:val="2C2C2C"/>
          <w:sz w:val="22"/>
          <w:szCs w:val="22"/>
        </w:rPr>
        <w:t>Respuesta exitosa (200 OK):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2" w:space="0" w:color="4A90D9"/>
              <w:bottom w:val="single" w:sz="2" w:space="0" w:color="C5D5E8"/>
              <w:right w:val="single" w:sz="2" w:space="0" w:color="C5D5E8"/>
            </w:tcBorders>
            <w:shd w:fill="1E1E2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"token":   "eyJhbGciOiJIUzI1NiIsIn...",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"message": "Login exitoso"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6DA4"/>
          <w:sz w:val="26"/>
          <w:szCs w:val="26"/>
        </w:rPr>
        <w:t>7.2 Gestión de Chat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C2C2C"/>
          <w:sz w:val="22"/>
          <w:szCs w:val="22"/>
        </w:rPr>
        <w:t>7.2.1 Crear o Recuperar Sesión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7D3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A5C"/>
                <w:sz w:val="20"/>
                <w:szCs w:val="20"/>
              </w:rPr>
              <w:t>/api/chat/session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Crea una nueva sesión de chat o recupera la activa del usuario autenticado.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2719705"/>
            <wp:effectExtent l="0" t="0" r="0" b="0"/>
            <wp:wrapSquare wrapText="largest"/>
            <wp:docPr id="10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color w:val="2C2C2C"/>
          <w:sz w:val="22"/>
          <w:szCs w:val="22"/>
        </w:rPr>
        <w:t>Respuesta exitosa (200 OK):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2" w:space="0" w:color="4A90D9"/>
              <w:bottom w:val="single" w:sz="2" w:space="0" w:color="C5D5E8"/>
              <w:right w:val="single" w:sz="2" w:space="0" w:color="C5D5E8"/>
            </w:tcBorders>
            <w:shd w:fill="1E1E2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"id":          1,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"sessionId":   "38c2a0d1-c889-48e0-9c63-a41f04cbb787",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"user":        { "idCard": 1234567890, "firstName": "Breiner" },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"n8nSessionId":"38c2a0d1-c889-48e0-9c63-a41f04cbb787",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"createdAt":   "2025-01-15T10:30:00",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"active":      true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C2C2C"/>
          <w:sz w:val="22"/>
          <w:szCs w:val="22"/>
        </w:rPr>
        <w:t>7.2.2 Enviar Mensaje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7D3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A5C"/>
                <w:sz w:val="20"/>
                <w:szCs w:val="20"/>
              </w:rPr>
              <w:t>/api/chat/message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Envía un mensaje al agente jurídico y devuelve su respuesta.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2719705"/>
            <wp:effectExtent l="0" t="0" r="0" b="0"/>
            <wp:wrapSquare wrapText="largest"/>
            <wp:docPr id="11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20" w:before="80" w:after="80"/>
        <w:jc w:val="both"/>
        <w:rPr>
          <w:rFonts w:ascii="Arial" w:hAnsi="Arial" w:eastAsia="Arial" w:cs="Arial"/>
          <w:color w:val="2C2C2C"/>
          <w:sz w:val="22"/>
          <w:szCs w:val="22"/>
        </w:rPr>
      </w:pPr>
      <w:r>
        <w:rPr/>
      </w:r>
    </w:p>
    <w:p>
      <w:pPr>
        <w:pStyle w:val="Normal"/>
        <w:spacing w:lineRule="exact" w:line="320" w:before="80" w:after="80"/>
        <w:jc w:val="both"/>
        <w:rPr>
          <w:rFonts w:ascii="Arial" w:hAnsi="Arial" w:eastAsia="Arial" w:cs="Arial"/>
          <w:color w:val="2C2C2C"/>
          <w:sz w:val="22"/>
          <w:szCs w:val="22"/>
        </w:rPr>
      </w:pPr>
      <w:r>
        <w:rPr/>
      </w:r>
    </w:p>
    <w:p>
      <w:pPr>
        <w:pStyle w:val="Normal"/>
        <w:spacing w:lineRule="exact" w:line="320" w:before="80" w:after="80"/>
        <w:jc w:val="both"/>
        <w:rPr>
          <w:rFonts w:ascii="Arial" w:hAnsi="Arial" w:eastAsia="Arial" w:cs="Arial"/>
          <w:color w:val="2C2C2C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2719705"/>
            <wp:effectExtent l="0" t="0" r="0" b="0"/>
            <wp:wrapSquare wrapText="largest"/>
            <wp:docPr id="12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20" w:before="80" w:after="80"/>
        <w:jc w:val="both"/>
        <w:rPr>
          <w:rFonts w:ascii="Arial" w:hAnsi="Arial" w:eastAsia="Arial" w:cs="Arial"/>
          <w:color w:val="2C2C2C"/>
          <w:sz w:val="22"/>
          <w:szCs w:val="22"/>
        </w:rPr>
      </w:pPr>
      <w:r>
        <w:rPr/>
      </w:r>
    </w:p>
    <w:p>
      <w:pPr>
        <w:pStyle w:val="Normal"/>
        <w:spacing w:lineRule="exact" w:line="320" w:before="80" w:after="80"/>
        <w:jc w:val="both"/>
        <w:rPr>
          <w:rFonts w:ascii="Arial" w:hAnsi="Arial" w:eastAsia="Arial" w:cs="Arial"/>
          <w:color w:val="2C2C2C"/>
          <w:sz w:val="22"/>
          <w:szCs w:val="22"/>
        </w:rPr>
      </w:pPr>
      <w:r>
        <w:rPr/>
      </w:r>
    </w:p>
    <w:p>
      <w:pPr>
        <w:pStyle w:val="Normal"/>
        <w:spacing w:lineRule="exact" w:line="320" w:before="80" w:after="80"/>
        <w:jc w:val="both"/>
        <w:rPr>
          <w:rFonts w:ascii="Arial" w:hAnsi="Arial" w:eastAsia="Arial" w:cs="Arial"/>
          <w:color w:val="2C2C2C"/>
          <w:sz w:val="22"/>
          <w:szCs w:val="22"/>
        </w:rPr>
      </w:pPr>
      <w:r>
        <w:rPr/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color w:val="2C2C2C"/>
          <w:sz w:val="22"/>
          <w:szCs w:val="22"/>
        </w:rPr>
        <w:t>Cuerpo de la solicitud (JSON):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>
          <w:trHeight w:val="738" w:hRule="atLeast"/>
        </w:trPr>
        <w:tc>
          <w:tcPr>
            <w:tcW w:w="9360" w:type="dxa"/>
            <w:tcBorders>
              <w:top w:val="single" w:sz="2" w:space="0" w:color="C5D5E8"/>
              <w:left w:val="single" w:sz="12" w:space="0" w:color="4A90D9"/>
              <w:bottom w:val="single" w:sz="2" w:space="0" w:color="C5D5E8"/>
              <w:right w:val="single" w:sz="2" w:space="0" w:color="C5D5E8"/>
            </w:tcBorders>
            <w:shd w:fill="1E1E2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"chatInput": "Consulta sobre liquidación de prestaciones sociales"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lineRule="exact" w:line="320" w:before="80" w:after="80"/>
        <w:jc w:val="both"/>
        <w:rPr/>
      </w:pPr>
      <w:r>
        <w:rPr>
          <w:rFonts w:eastAsia="Arial" w:cs="Arial"/>
          <w:color w:val="2C2C2C"/>
          <w:sz w:val="22"/>
          <w:szCs w:val="22"/>
        </w:rPr>
        <w:t>Respuesta exitosa (200 OK):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2" w:space="0" w:color="4A90D9"/>
              <w:bottom w:val="single" w:sz="2" w:space="0" w:color="C5D5E8"/>
              <w:right w:val="single" w:sz="2" w:space="0" w:color="C5D5E8"/>
            </w:tcBorders>
            <w:shd w:fill="1E1E2E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"sessionId": "38c2a0d1-c889-48e0-9c63-a41f04cbb787",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"message":   "Consulta sobre liquidación de prestaciones sociales",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"response":  "Según el Artículo 249 del Código Sustantivo del Trabajo..."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8D8A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C2C2C"/>
          <w:sz w:val="22"/>
          <w:szCs w:val="22"/>
        </w:rPr>
        <w:t>7.2.3 Historial de Sesión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A5C"/>
                <w:sz w:val="20"/>
                <w:szCs w:val="20"/>
              </w:rPr>
              <w:t>/api/chat/session/{sessionId}/history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Recupera el historial completo de mensajes de una sesión específica.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2719705"/>
            <wp:effectExtent l="0" t="0" r="0" b="0"/>
            <wp:wrapSquare wrapText="largest"/>
            <wp:docPr id="13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C2C2C"/>
          <w:sz w:val="22"/>
          <w:szCs w:val="22"/>
        </w:rPr>
        <w:t>7.2.4 Listar Sesiones del Usuario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A5C"/>
                <w:sz w:val="20"/>
                <w:szCs w:val="20"/>
              </w:rPr>
              <w:t>/api/chat/sessions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Devuelve todas las sesiones de chat asociadas al usuario autenticado.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2719705"/>
            <wp:effectExtent l="0" t="0" r="0" b="0"/>
            <wp:wrapSquare wrapText="largest"/>
            <wp:docPr id="14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C2C2C"/>
          <w:sz w:val="22"/>
          <w:szCs w:val="22"/>
        </w:rPr>
        <w:t>7.2.5 Cerrar Sesión de Chat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2E7D3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A5C"/>
                <w:sz w:val="20"/>
                <w:szCs w:val="20"/>
              </w:rPr>
              <w:t>/api/chat/session/{sessionId}/close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Finaliza y cierra una sesión de chat activa.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8" w:space="6" w:color="2E6DA4"/>
        </w:pBdr>
        <w:spacing w:before="360" w:after="1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8. Modelo de Seguridad</w:t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8.1 Cifrado de Contraseñas</w:t>
      </w:r>
    </w:p>
    <w:p>
      <w:pPr>
        <w:pStyle w:val="Normal"/>
        <w:spacing w:lineRule="exact" w:line="320" w:before="80" w:after="8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El sistema utiliza bcrypt como algoritmo de hashing para el almacenamiento de contraseñas. bcrypt incorpora un factor de coste configurable y salt automático, garantizando resistencia a ataques de fuerza bruta y tablas arcoíris. Las contraseñas en texto plano nunca se almacenan en la base de datos.</w:t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8.2 Gestión de Tokens JWT</w:t>
      </w:r>
    </w:p>
    <w:p>
      <w:pPr>
        <w:pStyle w:val="Normal"/>
        <w:spacing w:lineRule="exact" w:line="320" w:before="80" w:after="8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Los JSON Web Tokens implementados siguen el estándar RFC 7519. Cada token contiene los siguientes claims:</w:t>
      </w:r>
    </w:p>
    <w:p>
      <w:pPr>
        <w:pStyle w:val="ListParagraph"/>
        <w:numPr>
          <w:ilvl w:val="0"/>
          <w:numId w:val="1"/>
        </w:numPr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sub: identificador único del usuario (email).</w:t>
      </w:r>
    </w:p>
    <w:p>
      <w:pPr>
        <w:pStyle w:val="ListParagraph"/>
        <w:numPr>
          <w:ilvl w:val="0"/>
          <w:numId w:val="1"/>
        </w:numPr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iat: marca de tiempo de emisión del token.</w:t>
      </w:r>
    </w:p>
    <w:p>
      <w:pPr>
        <w:pStyle w:val="ListParagraph"/>
        <w:numPr>
          <w:ilvl w:val="0"/>
          <w:numId w:val="1"/>
        </w:numPr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exp: marca de tiempo de expiración del token.</w:t>
      </w:r>
    </w:p>
    <w:p>
      <w:pPr>
        <w:pStyle w:val="ListParagraph"/>
        <w:numPr>
          <w:ilvl w:val="0"/>
          <w:numId w:val="1"/>
        </w:numPr>
        <w:spacing w:before="60" w:after="6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roles: roles y permisos del usuario autenticado.</w:t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8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8.3 Protección de Endpoints</w:t>
      </w:r>
    </w:p>
    <w:p>
      <w:pPr>
        <w:pStyle w:val="Normal"/>
        <w:spacing w:lineRule="exact" w:line="320" w:before="80" w:after="80"/>
        <w:jc w:val="both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Spring Security actúa como filtro global sobre todas las solicitudes HTTP. Los endpoints del módulo de chat requieren un token JWT válido; las rutas de autenticación (/api/auth/**) son públicas. Solicitudes con tokens inválidos, expirados o ausentes reciben una respuesta HTTP 401 Unauthorized.</w:t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60" w:after="60"/>
        <w:rPr>
          <w:color w:val="000000"/>
        </w:rPr>
      </w:pPr>
      <w:r>
        <w:rPr>
          <w:color w:val="000000"/>
        </w:rPr>
      </w:r>
    </w:p>
    <w:p>
      <w:pPr>
        <w:pStyle w:val="Heading1"/>
        <w:pBdr>
          <w:bottom w:val="single" w:sz="8" w:space="6" w:color="2E6DA4"/>
        </w:pBdr>
        <w:spacing w:before="360" w:after="1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9. Consideraciones Técnicas y Notas Finales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6" w:space="0" w:color="4A90D9"/>
              <w:bottom w:val="single" w:sz="2" w:space="0" w:color="C5D5E8"/>
              <w:right w:val="single" w:sz="2" w:space="0" w:color="C5D5E8"/>
            </w:tcBorders>
            <w:shd w:fill="D6E4F0" w:val="clear"/>
          </w:tcPr>
          <w:p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color w:val="1A3A5C"/>
                <w:sz w:val="22"/>
                <w:szCs w:val="22"/>
              </w:rPr>
              <w:t>Separación de responsabilidades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El diseño modular con backend y frontend independientes facilita el mantenimiento, las pruebas unitarias y el despliegue continuo (CI/CD) de cada componente por separado.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6" w:space="0" w:color="2E7D32"/>
              <w:bottom w:val="single" w:sz="2" w:space="0" w:color="C5D5E8"/>
              <w:right w:val="single" w:sz="2" w:space="0" w:color="C5D5E8"/>
            </w:tcBorders>
            <w:shd w:fill="E8F5E9" w:val="clear"/>
          </w:tcPr>
          <w:p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color w:val="1B5E20"/>
                <w:sz w:val="22"/>
                <w:szCs w:val="22"/>
              </w:rPr>
              <w:t>Variables de entorno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La configuración sensible (cadenas de conexión, claves JWT, credenciales de terceros) debe gestionarse mediante variables de entorno o un sistema de secretos seguro, nunca en texto plano dentro del repositorio.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5E8"/>
              <w:left w:val="single" w:sz="16" w:space="0" w:color="E65100"/>
              <w:bottom w:val="single" w:sz="2" w:space="0" w:color="C5D5E8"/>
              <w:right w:val="single" w:sz="2" w:space="0" w:color="C5D5E8"/>
            </w:tcBorders>
            <w:shd w:fill="FFF3E0" w:val="clear"/>
          </w:tcPr>
          <w:p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color w:val="BF360C"/>
                <w:sz w:val="22"/>
                <w:szCs w:val="22"/>
              </w:rPr>
              <w:t>Especialidad jurídica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2C2C2C"/>
                <w:sz w:val="20"/>
                <w:szCs w:val="20"/>
              </w:rPr>
              <w:t>AlphaBrein está diseñado exclusivamente para consultas en materia de derecho laboral colombiano. Las respuestas del agente se fundamentan en el Código Sustantivo del Trabajo, la Ley 100 de 1993 y normativa concordante vigente.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top w:val="single" w:sz="4" w:space="8" w:color="D6E4F0"/>
        </w:pBdr>
        <w:spacing w:before="200" w:after="0"/>
        <w:jc w:val="center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Documento generado por el equipo AlphaBrein — 2025</w:t>
      </w:r>
    </w:p>
    <w:sectPr>
      <w:headerReference w:type="default" r:id="rId16"/>
      <w:footerReference w:type="default" r:id="rId17"/>
      <w:type w:val="nextPage"/>
      <w:pgSz w:w="12240" w:h="15840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D6E4F0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555555"/>
        <w:sz w:val="16"/>
        <w:szCs w:val="16"/>
      </w:rPr>
      <w:t>Confidencial — AlphaBrein 2025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0" w:type="dxa"/>
      <w:tblLayout w:type="fixed"/>
      <w:tblCellMar>
        <w:top w:w="60" w:type="dxa"/>
        <w:left w:w="0" w:type="dxa"/>
        <w:bottom w:w="60" w:type="dxa"/>
        <w:right w:w="0" w:type="dxa"/>
      </w:tblCellMar>
    </w:tblPr>
    <w:tblGrid>
      <w:gridCol w:w="5760"/>
      <w:gridCol w:w="3959"/>
    </w:tblGrid>
    <w:tr>
      <w:trPr>
        <w:trHeight w:val="231" w:hRule="atLeast"/>
      </w:trPr>
      <w:tc>
        <w:tcPr>
          <w:tcW w:w="5760" w:type="dxa"/>
          <w:tcBorders/>
          <w:shd w:fill="FFFFFF" w:val="clear"/>
        </w:tcPr>
        <w:p>
          <w:pPr>
            <w:pStyle w:val="Normal"/>
            <w:rPr>
              <w:color w:val="000000"/>
            </w:rPr>
          </w:pPr>
          <w:r>
            <w:rPr>
              <w:rFonts w:eastAsia="Arial" w:cs="Arial"/>
              <w:b/>
              <w:bCs/>
              <w:color w:val="000000"/>
              <w:sz w:val="16"/>
              <w:szCs w:val="16"/>
            </w:rPr>
            <w:t>AlphaBrein — Asistente Jurídico Laboral</w:t>
          </w:r>
        </w:p>
      </w:tc>
      <w:tc>
        <w:tcPr>
          <w:tcW w:w="3959" w:type="dxa"/>
          <w:tcBorders/>
          <w:shd w:fill="FFFFFF" w:val="clear"/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555555"/>
              <w:sz w:val="16"/>
              <w:szCs w:val="16"/>
            </w:rPr>
            <w:t>Especificación Técnica v1.0</w:t>
          </w:r>
        </w:p>
      </w:tc>
    </w:tr>
  </w:tbl>
  <w:p>
    <w:pPr>
      <w:pStyle w:val="Normal"/>
      <w:pBdr>
        <w:bottom w:val="single" w:sz="6" w:space="4" w:color="2E6DA4"/>
      </w:pBdr>
      <w:spacing w:before="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Ttulo"/>
    <w:qFormat/>
    <w:pPr>
      <w:spacing w:before="360" w:after="180"/>
      <w:outlineLvl w:val="0"/>
    </w:pPr>
    <w:rPr>
      <w:rFonts w:ascii="Arial" w:hAnsi="Arial" w:eastAsia="Arial" w:cs="Arial"/>
      <w:b/>
      <w:bCs/>
      <w:color w:val="1A3A5C"/>
      <w:sz w:val="32"/>
      <w:szCs w:val="32"/>
    </w:rPr>
  </w:style>
  <w:style w:type="paragraph" w:styleId="Heading2">
    <w:name w:val="Heading 2"/>
    <w:basedOn w:val="Ttulo"/>
    <w:qFormat/>
    <w:pPr>
      <w:spacing w:before="280" w:after="120"/>
      <w:outlineLvl w:val="1"/>
    </w:pPr>
    <w:rPr>
      <w:rFonts w:ascii="Arial" w:hAnsi="Arial" w:eastAsia="Arial" w:cs="Arial"/>
      <w:b/>
      <w:bCs/>
      <w:color w:val="2E6DA4"/>
      <w:sz w:val="26"/>
      <w:szCs w:val="26"/>
    </w:rPr>
  </w:style>
  <w:style w:type="paragraph" w:styleId="Heading3">
    <w:name w:val="Heading 3"/>
    <w:basedOn w:val="Ttulo"/>
    <w:qFormat/>
    <w:pPr>
      <w:spacing w:before="200" w:after="80"/>
      <w:outlineLvl w:val="2"/>
    </w:pPr>
    <w:rPr>
      <w:rFonts w:ascii="Arial" w:hAnsi="Arial" w:eastAsia="Arial" w:cs="Arial"/>
      <w:b/>
      <w:bCs/>
      <w:color w:val="2C2C2C"/>
      <w:sz w:val="22"/>
      <w:szCs w:val="22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16</Pages>
  <Words>1304</Words>
  <Characters>8248</Characters>
  <CharactersWithSpaces>9465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2026-05-22T06:45:20Z</dcterms:created>
  <dc:creator>Un-named</dc:creator>
  <dc:description/>
  <dc:language>es-ES</dc:language>
  <cp:lastModifiedBy/>
  <dcterms:modified xsi:type="dcterms:W3CDTF">2026-05-22T02:47:41Z</dcterms:modified>
  <cp:revision>3</cp:revision>
  <dc:subject/>
  <dc:title/>
</cp:coreProperties>
</file>