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Follow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 able to follow another User.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shall contain at least two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other User approves the request,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is notified and able to see the other User’s content. The following and follower numbers are updated for the Users.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</w:t>
      </w:r>
      <w:r w:rsidDel="00000000" w:rsidR="00000000" w:rsidRPr="00000000">
        <w:rPr>
          <w:rFonts w:ascii="Arial" w:cs="Arial" w:eastAsia="Arial" w:hAnsi="Arial"/>
          <w:rtl w:val="0"/>
        </w:rPr>
        <w:t xml:space="preserve">requests to follow another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corresponding User.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this User accepts this request, the system updates the Followers of the target User and the Followings of the initial User.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notifies the initial User about the request's status if it is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3 in the basic flow, the User requests to cancel the operation: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User takes back the following request.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37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Follow User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15/12/2023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7jCou5N4JQBGeP+flWLkBUzEUA==">CgMxLjAyDmguZnZ1MGFxd25qbW1oOAByITFLT0M0OXF2Q2tfMGoxZlJfbjJLSzI2NUZ6QktwbkhxTQ==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