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Multiple controls needs to be implemented by Botium Toys to improve the security posture and to ensure confidentiality of sensitive information including: Least privilege, Disaster recovery plan, password policies, seperation of duties, IDS systems, on going legacy management system, encryption and password management system. </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order to address the gaps in the compliance, Botium Toys will need to implement controls such as least privilege, password policies, seperation of duties and encryption. Furthermore, Botium Toys will need to properly classify assets, to identify additional controls that may need to be implemented to improve security posture and protect sensitive information.  </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