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A2BF2">
      <w:pPr>
        <w:bidi w:val="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数字中国建设的底层逻辑：从基础设施到治理能力的范式跃迁</w:t>
      </w:r>
    </w:p>
    <w:p w14:paraId="4EB10654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摘要</w:t>
      </w:r>
      <w:r>
        <w:rPr>
          <w:rFonts w:hint="eastAsia" w:ascii="宋体" w:hAnsi="宋体" w:eastAsia="宋体" w:cs="宋体"/>
          <w:sz w:val="24"/>
          <w:szCs w:val="24"/>
        </w:rPr>
        <w:t>：2026年是“十五五”开局之年，数字中国建设进入以“数据价值释放”为核心的新阶段。本文认为，深入推进数字中国建设的关键在于完成从“数字基础设施”到“数字治理能力”的范式跃迁。基于辩证视角，本文考察了数据要素制度化、数字治理减负化、数据法治前瞻化三个维度，既肯定成效，也正视效率与隐私、便捷与异化、创新与规制之间的张力。重点关注大学生作为数字原住民的双重角色——既是受益者，也面临数据权益、算法规训等新挑战。数字中国建设应以制度创新为引擎，在动力、方向、底线三个层面实现辩证统一。</w:t>
      </w:r>
    </w:p>
    <w:p w14:paraId="40D5F14D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关键词</w:t>
      </w:r>
      <w:r>
        <w:rPr>
          <w:rFonts w:hint="eastAsia" w:ascii="宋体" w:hAnsi="宋体" w:eastAsia="宋体" w:cs="宋体"/>
          <w:sz w:val="24"/>
          <w:szCs w:val="24"/>
        </w:rPr>
        <w:t>：数字中国；数据要素；数字治理；范式跃迁；大学生</w:t>
      </w:r>
    </w:p>
    <w:p w14:paraId="230BDFFA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3C6F3E5B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 引言</w:t>
      </w:r>
    </w:p>
    <w:p w14:paraId="2BCE29CB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2026年是国家数据局定调的“数据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要素</w:t>
      </w:r>
      <w:r>
        <w:rPr>
          <w:rFonts w:hint="eastAsia" w:ascii="宋体" w:hAnsi="宋体" w:eastAsia="宋体" w:cs="宋体"/>
          <w:sz w:val="24"/>
          <w:szCs w:val="24"/>
        </w:rPr>
        <w:t>价值释放年”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 w:eastAsia="zh-CN"/>
        </w:rPr>
        <w:t>[1]</w:t>
      </w:r>
      <w:r>
        <w:rPr>
          <w:rFonts w:hint="eastAsia" w:ascii="宋体" w:hAnsi="宋体" w:eastAsia="宋体" w:cs="宋体"/>
          <w:sz w:val="24"/>
          <w:szCs w:val="24"/>
        </w:rPr>
        <w:t>，数字中国建设从“打基础”迈向“强赋能”的新阶段。我们谈论的数字中国，究竟在建设什么？本文认为，关键在于完成从“数字基础设施”到“数字治理能力”的范式跃迁——不应止步于技术基建，而要以制度创新释放价值，同时辩证看待技术进步的双刃效应。大学生群体作为数字原住民，既是亲历者也是实践者。唯有直面矛盾，数字中国方能行稳致远。</w:t>
      </w:r>
    </w:p>
    <w:p w14:paraId="0B8FD04E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 数据要素的制度化：从“有数可用”到“有法可循”</w:t>
      </w:r>
    </w:p>
    <w:p w14:paraId="11652C53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 制度突破与内在张力</w:t>
      </w:r>
    </w:p>
    <w:p w14:paraId="533FA86E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数据要成为生产要素，必须跨越从“资源”到“资本”的制度鸿沟。2024年我国数据生产总量达41.06ZB，但权属不清、流通不畅制约了价值释放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[2]</w:t>
      </w:r>
      <w:r>
        <w:rPr>
          <w:rFonts w:hint="eastAsia" w:ascii="宋体" w:hAnsi="宋体" w:eastAsia="宋体" w:cs="宋体"/>
          <w:sz w:val="24"/>
          <w:szCs w:val="24"/>
        </w:rPr>
        <w:t>。2025年，国家数据局加快建立数据产权登记制度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[3]</w:t>
      </w:r>
      <w:r>
        <w:rPr>
          <w:rFonts w:hint="eastAsia" w:ascii="宋体" w:hAnsi="宋体" w:eastAsia="宋体" w:cs="宋体"/>
          <w:sz w:val="24"/>
          <w:szCs w:val="24"/>
        </w:rPr>
        <w:t>；杭州“改革沙盒”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[4]</w:t>
      </w:r>
      <w:r>
        <w:rPr>
          <w:rFonts w:hint="eastAsia" w:ascii="宋体" w:hAnsi="宋体" w:eastAsia="宋体" w:cs="宋体"/>
          <w:sz w:val="24"/>
          <w:szCs w:val="24"/>
        </w:rPr>
        <w:t>、温州三段式合规评审等探索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[5]</w:t>
      </w:r>
      <w:r>
        <w:rPr>
          <w:rFonts w:hint="eastAsia" w:ascii="宋体" w:hAnsi="宋体" w:eastAsia="宋体" w:cs="宋体"/>
          <w:sz w:val="24"/>
          <w:szCs w:val="24"/>
        </w:rPr>
        <w:t>，推动从“技术优先”转向“制度优先”。然而，效率导向可能挤压隐私——这正是需要辩证对待的张力。</w:t>
      </w:r>
    </w:p>
    <w:p w14:paraId="1F2F15E1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 大学生的机遇与挑战</w:t>
      </w:r>
    </w:p>
    <w:p w14:paraId="29D7AEF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大学生每日产生的学习、消费数据，可转化为“数字红利”。例如中科大“隐形资助”通过食堂消费数据识别贫困生，精准帮扶十余年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[6]</w:t>
      </w:r>
      <w:r>
        <w:rPr>
          <w:rFonts w:hint="eastAsia" w:ascii="宋体" w:hAnsi="宋体" w:eastAsia="宋体" w:cs="宋体"/>
          <w:sz w:val="24"/>
          <w:szCs w:val="24"/>
        </w:rPr>
        <w:t>。但同时，超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</w:t>
      </w:r>
      <w:r>
        <w:rPr>
          <w:rFonts w:hint="eastAsia" w:ascii="宋体" w:hAnsi="宋体" w:eastAsia="宋体" w:cs="宋体"/>
          <w:sz w:val="24"/>
          <w:szCs w:val="24"/>
        </w:rPr>
        <w:t>%的北京高校学生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认为个人信息泄露普遍</w:t>
      </w:r>
      <w:r>
        <w:rPr>
          <w:rFonts w:hint="eastAsia" w:ascii="宋体" w:hAnsi="宋体" w:eastAsia="宋体" w:cs="宋体"/>
          <w:sz w:val="24"/>
          <w:szCs w:val="24"/>
        </w:rPr>
        <w:t>。课程录播数据归谁？实习数据能否被企业随意使用？大学生普遍缺乏数据维权意识。数据要素化既要“动起来”，更要“动得规范、动得公平”。</w:t>
      </w:r>
    </w:p>
    <w:p w14:paraId="65CA5FCC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 数字治理的减负化：从“技术增负”到“技术赋能”</w:t>
      </w:r>
    </w:p>
    <w:p w14:paraId="308588D8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3.1 高校“数字围城”与异化现象</w:t>
      </w:r>
    </w:p>
    <w:p w14:paraId="242F4C4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应提效的数字化工具，有时反成负担。大学生遭遇“数字围城”：课堂签到、第二课堂打卡、宿舍报修等数十个App，账号繁多、通知轰炸。更隐蔽的是“算法排名”——将互动频次、入馆次数纳入综评，催生刷数据行为。有学生坦言：“每天机械打卡，忘了学习本身的意义。”这揭示了技术异化：技术本应解放人，却可能沦为规训工具。</w:t>
      </w:r>
    </w:p>
    <w:p w14:paraId="1068174C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3.2 减负实践与辩证平衡</w:t>
      </w:r>
    </w:p>
    <w:p w14:paraId="4D192FD7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2025年，教育部等九部门联合发文推进教育数字化，高校“一网通办”加速落地。聊城大学建成网上办事大厅，累计办理服务超17万次，减少师生跑腿26万次</w:t>
      </w:r>
      <w:r>
        <w:rPr>
          <w:rFonts w:hint="eastAsia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些实践让“数据多跑路，师生少跑腿”成为现实。但减负之后又现新问题：当人脸识别门禁遍布教学楼，出勤统计更精准，是否也意味着“隐形监控”？当多源数据融合预警学生异常状态，效率提升的同时，个人隐私的边界在哪里？这提醒我们，减负不是一减了之，而要在效率、公平、隐私间寻求动态平衡。</w:t>
      </w:r>
    </w:p>
    <w:p w14:paraId="38B4711E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 数据法治的前瞻化：从“技术先行”到“规则同步”</w:t>
      </w:r>
    </w:p>
    <w:p w14:paraId="1E57F0F7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4.1 立法进程与前瞻布局</w:t>
      </w:r>
    </w:p>
    <w:p w14:paraId="0446DA1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2025年《网络安全法》首次修订，增加“AI入法”内容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[7]</w:t>
      </w:r>
      <w:r>
        <w:rPr>
          <w:rFonts w:hint="eastAsia" w:ascii="宋体" w:hAnsi="宋体" w:eastAsia="宋体" w:cs="宋体"/>
          <w:sz w:val="24"/>
          <w:szCs w:val="24"/>
        </w:rPr>
        <w:t>；法治建设从“事后追赶”转向“前瞻引领”。</w:t>
      </w:r>
    </w:p>
    <w:p w14:paraId="3F9B89B3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4.2 大学生的权利与责任</w:t>
      </w:r>
    </w:p>
    <w:p w14:paraId="26965A8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治既提供保护伞，也划定责任线。一方面，AI论文写作、求职信息保护、数据创新大赛合规等有了清晰规则；另一方面，部分学生因“翻墙”、泄露他人信息、参与数据黑产而违法。技术便利与法律红线的张力加剧。高校应将数据伦理纳入通识课程，立法也应避免一刀切——既防止AI代写，又鼓励合理辅助。大学生既是受益者，也是未来数字社会的建设者。</w:t>
      </w:r>
    </w:p>
    <w:p w14:paraId="1E6C84E4">
      <w:pPr>
        <w:bidi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5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结论与展望</w:t>
      </w:r>
    </w:p>
    <w:p w14:paraId="6CDA7882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字中国建设是动力（数据要素）、方向（减负赋能）、底线（法治规制）的辩证统一。大学生作为数字原住民，既享受个性化服务，也承受算法规训；既体验便捷，也面临隐私与法律风险。展望“十五五”，数字中国建设将以更成熟的制度、更务实的治理、更完善的法治，为中国式现代化奠定基石。而每位大学生的理性参与和批判思考，正是数字中国从宏大叙事走向具体福祉的微观动力。</w:t>
      </w:r>
    </w:p>
    <w:p w14:paraId="59B66AFC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4008BAF9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参考文献：</w:t>
      </w:r>
    </w:p>
    <w:p w14:paraId="230CCEE2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孙毅. 专家话两会 | 以改革攻坚加速数据价值释放[EB/OL]. (2026-03-01).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instrText xml:space="preserve"> HYPERLINK "https://www.nda.gov.cn/sjj/zwgk/zjjd/0312/20260312114042254859719_pc.html" </w:instrTex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https://www.nda.gov.cn/sjj/zwgk/zjjd/0312/20260312114042254859719_pc.html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 w14:paraId="3A49C19B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经济日报. 推动数据资源流得动用得好[EB/OL]. (2025-05-20).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instrText xml:space="preserve"> HYPERLINK "http://politics.people.com.cn/n1/2025/0520/c458474-40483659.html?" </w:instrTex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http://politics.people.com.cn/n1/2025/0520/c458474-40483659.html?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 w14:paraId="2A20BCDC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国家发展改革委, 国家数据局. 公共数据资源登记管理暂行办法[EB/OL]. (2025-01-08).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instrText xml:space="preserve"> HYPERLINK "https://zfxxgk.ndrc.gov.cn/web/iteminfo.jsp?f_link_type=f_linkinlinenote&amp;flow_extra=eyJpbmxpbmVfZGlzcGxheV9wb3NpdGlvbiI6MCwiZG9jX3Bvc2l0aW9uIjowLCJkb2NfaWQiOiIzMmYwNjE3YmNhZTQ4MmZhLWI3ZDFmZTQyMzA0MGIzODgifQ%3D%3D&amp;id=20475" </w:instrTex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https://zfxxgk.ndrc.gov.cn/web/iteminfo.jsp?f_link_type=f_linkinlinenote&amp;flow_extra=eyJpbmxpbmVfZGlzcGxheV9wb3NpdGlvbiI6MCwiZG9jX3Bvc2l0aW9uIjowLCJkb2NfaWQiOiIzMmYwNjE3YmNhZTQ4MmZhLWI3ZDFmZTQyMzA0MGIzODgifQ%3D%3D&amp;id=20475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 w14:paraId="061B0751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杭州高新开发区政府办. 杭州高新开发区（滨江）管委会 政府关于促进数据产业高质量发展的实施意见[EB/OL]. (2025-05-22).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instrText xml:space="preserve"> HYPERLINK "https://www.hhtz.gov.cn/art/2025/4/21/art_1229225928_1850702.html?" </w:instrTex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https://www.hhtz.gov.cn/art/2025/4/21/art_1229225928_1850702.html?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 w14:paraId="50405EEC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国家数据局. 城市全域数字化转型典型案例集之十三 | 温州：建设中国（温州）数安港构建数据安全合规体系[EB/OL]. (2023-05-20). https://www.nda.gov.cn/sjj/ywpd/szsh/0102/20250102140608823012660_pc.html?</w:t>
      </w:r>
    </w:p>
    <w:p w14:paraId="705D7AB0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蒋一. 我校在教育部新闻发布会上介绍学生精准资助工作[EB/OL]. (2023-09-06).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instrText xml:space="preserve"> HYPERLINK "https://news.ustc.edu.cn/info/1032/22300.htm" </w:instrTex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https://news.ustc.edu.cn/info/1032/22300.htm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 w14:paraId="7382A595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中国人大网. 全国人民代表大会常务委员会关于修改《中华人民共和国网络安全法》的决定[EB/OL]. (2025-10-28)[2026-04-09]. http://www.npc.gov.cn/npc/c1773/c1848/c21114/wlaqfxz/wlaqfxz002/202511/t20251103_449242.html</w:t>
      </w:r>
    </w:p>
    <w:p w14:paraId="1DE330F9">
      <w:pPr>
        <w:bidi w:val="0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39F43"/>
    <w:multiLevelType w:val="singleLevel"/>
    <w:tmpl w:val="0F539F43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97EF0"/>
    <w:rsid w:val="0AD85C9E"/>
    <w:rsid w:val="2FA97EF0"/>
    <w:rsid w:val="3F34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1654</Words>
  <Characters>1699</Characters>
  <Lines>0</Lines>
  <Paragraphs>0</Paragraphs>
  <TotalTime>21</TotalTime>
  <ScaleCrop>false</ScaleCrop>
  <LinksUpToDate>false</LinksUpToDate>
  <CharactersWithSpaces>1710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2026-04-07T08:17:00Z</dcterms:created>
  <dc:creator>firefiy</dc:creator>
  <cp:lastModifiedBy>firefiy</cp:lastModifiedBy>
  <dcterms:modified xsi:type="dcterms:W3CDTF">2026-04-09T12:09:27Z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337D1679C7124877B383B66B7A9EC16E_11</vt:lpwstr>
  </property>
  <property fmtid="{D5CDD505-2E9C-101B-9397-08002B2CF9AE}" pid="4" name="KSOTemplateDocerSaveRecord">
    <vt:lpwstr>eyJoZGlkIjoiYWI1MWRmNTZmZDU2MjkyOTI4NjU5MDZkNDVjYmZkNTAiLCJ1c2VySWQiOiIyNjg3NTg3NTUifQ==</vt:lpwstr>
  </property>
</Properties>
</file>