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000000"/>
          <w:position w:val="0"/>
          <w:sz w:val="50"/>
          <w:szCs w:val="50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50"/>
          <w:szCs w:val="50"/>
          <w:rFonts w:ascii="Cambria" w:eastAsia="Cambria" w:hAnsi="Cambria" w:hint="default"/>
        </w:rPr>
        <w:t xml:space="preserve">Laboratorios de computación salas A y B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50"/>
          <w:szCs w:val="5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8851" w:type="dxa"/>
        <w:tblLook w:val="000600" w:firstRow="0" w:lastRow="0" w:firstColumn="0" w:lastColumn="0" w:noHBand="1" w:noVBand="1"/>
        <w:tblLayout w:type="fixed"/>
      </w:tblPr>
      <w:tblGrid>
        <w:gridCol w:w="2707"/>
        <w:gridCol w:w="2833"/>
        <w:gridCol w:w="3311"/>
      </w:tblGrid>
      <w:tr>
        <w:trPr>
          <w:trHeight w:hRule="atleast" w:val="863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Profesor: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0" type="#_x0000_t1" style="position:static;width:0.0pt;height:21.6pt;v-text-anchor:middle;z-index:251624964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Claudia Rodríguez 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Asignatura: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1" type="#_x0000_t1" style="position:static;width:0.0pt;height:0.0pt;v-text-anchor:middle;z-index:251624965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Fundamentos de programacion 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Grupo: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2" type="#_x0000_t1" style="position:static;width:0.0pt;height:0.0pt;v-text-anchor:middle;z-index:251624966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>14</w:t>
            </w:r>
          </w:p>
        </w:tc>
      </w:tr>
      <w:tr>
        <w:trPr>
          <w:trHeight w:hRule="atleast" w:val="790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No de </w:t>
            </w: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Práctica(s):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3" type="#_x0000_t1" style="position:static;width:0.0pt;height:0.0pt;v-text-anchor:middle;z-index:251624967" stroked="f" filled="f">
                  <w10:wrap type="none"/>
                  <w10:anchorlock/>
                  <v:textbox style="" inset="7pt,2pt,7pt,2pt">
                    <w:txbxContent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wordWrap w:val="off"/>
                        </w:pP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4"/>
                            <w:szCs w:val="24"/>
                            <w:rFonts w:ascii="Gulim" w:eastAsia="Gulim" w:hAnsi="Gulim" w:hint="default"/>
                          </w:rPr>
                          <w:wordWrap w:val="off"/>
                        </w:pPr>
                        <w:r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t xml:space="preserve">na Dulce Monica</w:t>
                        </w: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Calibri" w:eastAsia="Calibri" w:hAnsi="Calibri" w:hint="default"/>
                          </w:rPr>
                          <w:wordWrap w:val="off"/>
                        </w:pPr>
                      </w:p>
                    </w:txbxContent>
                  </v:textbox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t xml:space="preserve">01: La computación como herramienta de trabajo del </w:t>
            </w:r>
            <w:r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t xml:space="preserve">profesional de ingeniería </w:t>
            </w:r>
          </w:p>
        </w:tc>
      </w:tr>
      <w:tr>
        <w:trPr>
          <w:trHeight w:hRule="atleast" w:val="78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Integrante(s):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4" type="#_x0000_t1" style="position:static;width:0.0pt;height:0.0pt;v-text-anchor:middle;z-index:251624968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Pérez Cárdenas Brenda Carla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5" type="#_x0000_t1" style="position:static;width:0.0pt;height:0.0pt;v-text-anchor:middle;z-index:251624969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6" type="#_x0000_t1" style="position:static;width:0.0pt;height:0.0pt;v-text-anchor:middle;z-index:251624970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Semestre: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7" type="#_x0000_t1" style="position:static;width:0.0pt;height:0.0pt;v-text-anchor:middle;z-index:251624971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>2017-2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Fecha de entrega: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8" type="#_x0000_t1" style="position:static;width:0.0pt;height:0.0pt;v-text-anchor:middle;z-index:251624972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20 febrero de 2017</w:t>
            </w:r>
          </w:p>
        </w:tc>
      </w:tr>
      <w:tr>
        <w:trPr>
          <w:trHeight w:hRule="atleast" w:val="50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Observaciones: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9" type="#_x0000_t1" style="position:static;width:0.0pt;height:0.0pt;v-text-anchor:middle;z-index:251624973" stroked="f" filled="f">
                  <w10:wrap type="none"/>
                  <w10:anchorlock/>
                  <v:textbox style="" inset="7pt,2pt,7pt,2pt">
                    <w:txbxContent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wordWrap w:val="off"/>
                        </w:pP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Calibri" w:eastAsia="Calibri" w:hAnsi="Calibri" w:hint="default"/>
                          </w:rPr>
                          <w:wordWrap w:val="off"/>
                        </w:pPr>
                      </w:p>
                    </w:txbxContent>
                  </v:textbox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20" type="#_x0000_t1" style="position:static;width:0.0pt;height:0.0pt;v-text-anchor:middle;z-index:251624974" stroked="f" filled="f">
                  <w10:wrap type="none"/>
                  <w10:anchorlock/>
                  <v:textbox style="" inset="7pt,2pt,7pt,2pt">
                    <w:txbxContent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wordWrap w:val="off"/>
                        </w:pP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Calibri" w:eastAsia="Calibri" w:hAnsi="Calibri" w:hint="default"/>
                          </w:rPr>
                          <w:wordWrap w:val="off"/>
                        </w:pPr>
                      </w:p>
                    </w:txbxContent>
                  </v:textbox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34"/>
        </w:trPr>
        <w:tc>
          <w:tcPr>
            <w:tcW w:type="dxa" w:w="5540"/>
            <w:vAlign w:val="top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color w:val="000000"/>
                <w:position w:val="0"/>
                <w:sz w:val="52"/>
                <w:szCs w:val="52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52"/>
                <w:szCs w:val="52"/>
                <w:rFonts w:ascii="Calibri" w:eastAsia="Calibri" w:hAnsi="Calibri" w:hint="default"/>
              </w:rPr>
              <w:t>CALIFICACIÓN:</w:t>
            </w:r>
          </w:p>
        </w:tc>
        <w:tc>
          <w:tcPr>
            <w:tcW w:type="dxa" w:w="3311"/>
            <w:vAlign w:val="top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</w:tr>
      <w:tr>
        <w:trPr>
          <w:trHeight w:hRule="atleast" w:val="431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left w:w="0" w:type="dxa"/>
              <w:right w:w="5" w:type="dxa"/>
            </w:tcMar>
            <w:vAlign w:val="top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01: La computación como herramienta de </w:t>
      </w: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trabajo del profesional de ingeniería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 Objetivo: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Descubrir y utilizar herramientas de software que se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ofrecen en Internet que permitan realizar actividades y trabajos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académicos de forma organizada y profesional a lo largo de la vida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escolar, tales como manejo de repositorios de almacenamiento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buscadores con funciones avanzadas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 Introducción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El uso de un equipo de cómputo se vuelve fundamental para el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desarrollo de muchas de las actividades y tareas cotidianas que se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realizan día con día, no importando el giro al creando nuevas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versátiles soluciones que apoyen y beneficien directamente a la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sociedad al realizar dichas actividades; es por ello, que comprender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cómo funciona y cómo poder mejorar dicho funcionamiento se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vuelve un tema importante durante la formación del profesionista en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ingeniería.  Es por lo anterior, que en el desarrollo de proyectos se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realizan varias actividades donde la computación es un elemento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muy útil. De las actividades que se realizan en la elaboración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proyectos o trabajos podemos mencionar: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 Registro de planes, programas y cualquier documento con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información del proyecto en su desarrollo y en producción. 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Almacenamiento de la información en repositorios que sean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accesibles, seguros y que la disponibilidad de la información sea las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24 hrs de los 360 días del año. 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Búsqueda avanzada o especializada de información en Internet.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En la presente práctica se presentarán las herramientas de apoyo 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la realización de dichas actividades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Actividades: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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Crear un repositorio de almacenamiento en línea. Realizar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búsquedas avanzadas de información especializada.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Desarrollo de la práctica: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En esta práctica conocimos los diferentes tipos de almacenamiento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en línea, que hacen posible el poder compartir domumentos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poder tratrabajar con ellos desde otros dispositivos.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Asi mismo conocimos comandos que hacen mucho mas eficientes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las búsquedas en Google, ya que aunque desde pequeños lo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hemos utilizado aún nos faltaba conocer, todas estas instrucciones,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sz w:val="20"/>
        </w:rPr>
        <w:drawing>
          <wp:inline distT="0" distB="0" distL="0" distR="0">
            <wp:extent cx="5215255" cy="3066415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821339125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067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sz w:val="20"/>
        </w:rPr>
        <w:drawing>
          <wp:inline distT="0" distB="0" distL="0" distR="0">
            <wp:extent cx="5161280" cy="3555365"/>
            <wp:effectExtent l="0" t="0" r="0" b="0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fImage642341233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556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sz w:val="20"/>
        </w:rPr>
        <w:drawing>
          <wp:inline distT="0" distB="0" distL="0" distR="0">
            <wp:extent cx="5623560" cy="3904615"/>
            <wp:effectExtent l="0" t="0" r="0" b="0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fImage669191478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90524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Conclusión: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En lo personal estos comandos se me hicieron muy interesantes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no sabía en lo absoluto de su uso, son bastante peculiares y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gran utilidad. Esta práctica me fue de gran ayuda, ya que para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futuras tareas, y como información, ya que de algunas cosas tenía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conocimiento, pero descubrir otras es muy gratificante.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000000"/>
        <w:position w:val="0"/>
        <w:sz w:val="24"/>
        <w:szCs w:val="24"/>
        <w:rFonts w:ascii="Gulim" w:eastAsia="Gulim" w:hAnsi="Gulim" w:hint="default"/>
      </w:rPr>
      <w:wordWrap w:val="off"/>
    </w:pPr>
  </w:p>
  <w:p>
    <w:pPr>
      <w:bidi w:val="0"/>
      <w:numPr>
        <w:ilvl w:val="0"/>
        <w:numId w:val="0"/>
      </w:numPr>
      <w:jc w:val="center"/>
      <w:spacing w:lineRule="auto" w:line="240" w:before="0" w:after="0"/>
      <w:ind w:right="0" w:firstLine="0"/>
      <w:rPr>
        <w:color w:val="000000"/>
        <w:position w:val="0"/>
        <w:sz w:val="20"/>
        <w:szCs w:val="20"/>
        <w:rFonts w:ascii="Gulim" w:eastAsia="Gulim" w:hAnsi="Gulim" w:hint="default"/>
      </w:rPr>
      <w:wordWrap w:val="off"/>
    </w:pPr>
  </w:p>
  <w:p>
    <w:pPr>
      <w:numPr>
        <w:ilvl w:val="0"/>
        <w:numId w:val="0"/>
      </w:numPr>
      <w:jc w:val="both"/>
      <w:spacing w:lineRule="auto" w:line="259" w:before="0" w:after="160"/>
      <w:ind w:left="0" w:hanging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91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213391251.jpeg"></Relationship><Relationship Id="rId6" Type="http://schemas.openxmlformats.org/officeDocument/2006/relationships/image" Target="media/fImage6423412333.jpeg"></Relationship><Relationship Id="rId7" Type="http://schemas.openxmlformats.org/officeDocument/2006/relationships/image" Target="media/fImage6691914781.jpeg"></Relationship><Relationship Id="rId8" Type="http://schemas.openxmlformats.org/officeDocument/2006/relationships/header" Target="header2.xml"></Relationship><Relationship Id="rId9" Type="http://schemas.openxmlformats.org/officeDocument/2006/relationships/header" Target="header3.xml"></Relationship><Relationship Id="rId10" Type="http://schemas.openxmlformats.org/officeDocument/2006/relationships/footer" Target="footer5.xml"></Relationship><Relationship Id="rId11" Type="http://schemas.openxmlformats.org/officeDocument/2006/relationships/footer" Target="footer6.xml"></Relationship><Relationship Id="rId12" Type="http://schemas.openxmlformats.org/officeDocument/2006/relationships/header" Target="header4.xml"></Relationship><Relationship Id="rId13" Type="http://schemas.openxmlformats.org/officeDocument/2006/relationships/footer" Target="footer7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Brenda  Pérez</dc:creator>
  <cp:lastModifiedBy>Brenda  Pérez</cp:lastModifiedBy>
</cp:coreProperties>
</file>