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hanging="1134"/>
        <w:jc w:val="center"/>
        <w:rPr>
          <w:b w:val="1"/>
          <w:sz w:val="36"/>
          <w:szCs w:val="36"/>
        </w:rPr>
      </w:pPr>
      <w:r w:rsidDel="00000000" w:rsidR="00000000" w:rsidRPr="00000000">
        <w:rPr>
          <w:b w:val="1"/>
          <w:sz w:val="36"/>
          <w:szCs w:val="36"/>
          <w:rtl w:val="0"/>
        </w:rPr>
        <w:t xml:space="preserve">         </w:t>
      </w:r>
      <w:r w:rsidDel="00000000" w:rsidR="00000000" w:rsidRPr="00000000">
        <w:rPr>
          <w:b w:val="1"/>
          <w:sz w:val="36"/>
          <w:szCs w:val="36"/>
          <w:rtl w:val="0"/>
        </w:rPr>
        <w:t xml:space="preserve">       Inmigrantes digitales</w:t>
      </w:r>
      <w:r w:rsidDel="00000000" w:rsidR="00000000" w:rsidRPr="00000000">
        <w:rPr>
          <w:b w:val="1"/>
          <w:sz w:val="36"/>
          <w:szCs w:val="36"/>
          <w:rtl w:val="0"/>
        </w:rPr>
        <w:t xml:space="preserve">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hanging="1134"/>
        <w:jc w:val="center"/>
        <w:rPr>
          <w:b w:val="1"/>
          <w:sz w:val="36"/>
          <w:szCs w:val="36"/>
        </w:rPr>
      </w:pPr>
      <w:r w:rsidDel="00000000" w:rsidR="00000000" w:rsidRPr="00000000">
        <w:rPr>
          <w:b w:val="1"/>
          <w:sz w:val="36"/>
          <w:szCs w:val="36"/>
          <w:rtl w:val="0"/>
        </w:rPr>
        <w:t xml:space="preserve">           ”Una alternativa fácil de aprender” -  MOOC</w:t>
      </w:r>
      <w:r w:rsidDel="00000000" w:rsidR="00000000" w:rsidRPr="00000000">
        <w:rPr>
          <w:rtl w:val="0"/>
        </w:rPr>
      </w:r>
    </w:p>
    <w:tbl>
      <w:tblPr>
        <w:tblStyle w:val="Table1"/>
        <w:tblW w:w="9066.0" w:type="dxa"/>
        <w:jc w:val="center"/>
        <w:tblLayout w:type="fixed"/>
        <w:tblLook w:val="0000"/>
      </w:tblPr>
      <w:tblGrid>
        <w:gridCol w:w="9066"/>
        <w:tblGridChange w:id="0">
          <w:tblGrid>
            <w:gridCol w:w="9066"/>
          </w:tblGrid>
        </w:tblGridChange>
      </w:tblGrid>
      <w:tr>
        <w:trPr>
          <w:trHeight w:val="540" w:hRule="atLeast"/>
        </w:trPr>
        <w:tc>
          <w:tcPr>
            <w:vAlign w:val="top"/>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Brenda de la Cruz Barboza.</w:t>
            </w:r>
          </w:p>
        </w:tc>
      </w:tr>
      <w:tr>
        <w:tc>
          <w:tcPr>
            <w:vAlign w:val="top"/>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w:t>
            </w:r>
            <w:r w:rsidDel="00000000" w:rsidR="00000000" w:rsidRPr="00000000">
              <w:rPr>
                <w:rtl w:val="0"/>
              </w:rPr>
              <w:t xml:space="preserve">a Molina - Lima-Perú</w:t>
            </w:r>
            <w:r w:rsidDel="00000000" w:rsidR="00000000" w:rsidRPr="00000000">
              <w:rPr>
                <w:rtl w:val="0"/>
              </w:rPr>
            </w:r>
          </w:p>
        </w:tc>
      </w:tr>
      <w:tr>
        <w:tc>
          <w:tcPr>
            <w:vAlign w:val="top"/>
          </w:tcPr>
          <w:p w:rsidR="00000000" w:rsidDel="00000000" w:rsidP="00000000" w:rsidRDefault="00000000" w:rsidRPr="00000000" w14:paraId="00000005">
            <w:pPr>
              <w:jc w:val="center"/>
              <w:rPr>
                <w:vertAlign w:val="baseline"/>
              </w:rPr>
            </w:pPr>
            <w:r w:rsidDel="00000000" w:rsidR="00000000" w:rsidRPr="00000000">
              <w:rPr>
                <w:sz w:val="20"/>
                <w:szCs w:val="20"/>
                <w:vertAlign w:val="baseline"/>
                <w:rtl w:val="0"/>
              </w:rPr>
              <w:t xml:space="preserve">Universidad San Ignacio de Loyola</w:t>
            </w:r>
            <w:r w:rsidDel="00000000" w:rsidR="00000000" w:rsidRPr="00000000">
              <w:rPr>
                <w:rtl w:val="0"/>
              </w:rPr>
            </w:r>
          </w:p>
        </w:tc>
      </w:tr>
      <w:tr>
        <w:trPr>
          <w:trHeight w:val="100" w:hRule="atLeast"/>
        </w:trPr>
        <w:tc>
          <w:tcPr>
            <w:vAlign w:val="top"/>
          </w:tcPr>
          <w:p w:rsidR="00000000" w:rsidDel="00000000" w:rsidP="00000000" w:rsidRDefault="00000000" w:rsidRPr="00000000" w14:paraId="00000006">
            <w:pPr>
              <w:rPr>
                <w:sz w:val="20"/>
                <w:szCs w:val="20"/>
                <w:vertAlign w:val="baseline"/>
              </w:rPr>
            </w:pPr>
            <w:r w:rsidDel="00000000" w:rsidR="00000000" w:rsidRPr="00000000">
              <w:rPr>
                <w:rtl w:val="0"/>
              </w:rPr>
            </w:r>
          </w:p>
          <w:p w:rsidR="00000000" w:rsidDel="00000000" w:rsidP="00000000" w:rsidRDefault="00000000" w:rsidRPr="00000000" w14:paraId="00000007">
            <w:pPr>
              <w:jc w:val="center"/>
              <w:rPr>
                <w:vertAlign w:val="baseline"/>
              </w:rPr>
            </w:pPr>
            <w:r w:rsidDel="00000000" w:rsidR="00000000" w:rsidRPr="00000000">
              <w:rPr>
                <w:sz w:val="20"/>
                <w:szCs w:val="20"/>
                <w:vertAlign w:val="baseline"/>
                <w:rtl w:val="0"/>
              </w:rPr>
              <w:t xml:space="preserve">brenda.delacruz@usil.pe. </w:t>
            </w:r>
            <w:r w:rsidDel="00000000" w:rsidR="00000000" w:rsidRPr="00000000">
              <w:rPr>
                <w:rtl w:val="0"/>
              </w:rPr>
            </w:r>
          </w:p>
        </w:tc>
      </w:tr>
    </w:tbl>
    <w:p w:rsidR="00000000" w:rsidDel="00000000" w:rsidP="00000000" w:rsidRDefault="00000000" w:rsidRPr="00000000" w14:paraId="00000008">
      <w:pPr>
        <w:spacing w:after="240" w:lineRule="auto"/>
        <w:rPr>
          <w:vertAlign w:val="baseline"/>
        </w:rPr>
      </w:pPr>
      <w:r w:rsidDel="00000000" w:rsidR="00000000" w:rsidRPr="00000000">
        <w:rPr>
          <w:rtl w:val="0"/>
        </w:rPr>
      </w:r>
    </w:p>
    <w:p w:rsidR="00000000" w:rsidDel="00000000" w:rsidP="00000000" w:rsidRDefault="00000000" w:rsidRPr="00000000" w14:paraId="00000009">
      <w:pPr>
        <w:spacing w:after="240" w:lineRule="auto"/>
        <w:rPr>
          <w:vertAlign w:val="baseline"/>
        </w:rPr>
        <w:sectPr>
          <w:headerReference r:id="rId6" w:type="default"/>
          <w:footerReference r:id="rId7" w:type="default"/>
          <w:footerReference r:id="rId8" w:type="even"/>
          <w:pgSz w:h="16840" w:w="11907"/>
          <w:pgMar w:bottom="1418" w:top="1134" w:left="1021" w:right="680" w:header="720" w:footer="720"/>
          <w:pgNumType w:start="1"/>
        </w:sect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5" w:firstLine="0"/>
        <w:jc w:val="both"/>
        <w:rPr>
          <w:b w:val="1"/>
          <w:sz w:val="18"/>
          <w:szCs w:val="18"/>
          <w:highlight w:val="red"/>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5" w:firstLine="0"/>
        <w:jc w:val="both"/>
        <w:rPr>
          <w:b w:val="1"/>
          <w:sz w:val="18"/>
          <w:szCs w:val="18"/>
          <w:highlight w:val="red"/>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5" w:firstLine="0"/>
        <w:jc w:val="both"/>
        <w:rPr>
          <w:b w:val="1"/>
          <w:sz w:val="18"/>
          <w:szCs w:val="18"/>
          <w:highlight w:val="red"/>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5" w:firstLine="0"/>
        <w:jc w:val="both"/>
        <w:rPr>
          <w:b w:val="1"/>
          <w:sz w:val="18"/>
          <w:szCs w:val="18"/>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5" w:firstLine="142"/>
        <w:jc w:val="both"/>
        <w:rPr>
          <w:b w:val="1"/>
          <w:sz w:val="18"/>
          <w:szCs w:val="18"/>
          <w:highlight w:val="red"/>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Palabras Clave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1"/>
        <w:numPr>
          <w:ilvl w:val="0"/>
          <w:numId w:val="2"/>
        </w:numPr>
        <w:spacing w:after="80" w:before="240" w:lineRule="auto"/>
        <w:jc w:val="center"/>
        <w:rPr>
          <w:smallCaps w:val="1"/>
        </w:rPr>
      </w:pPr>
      <w:r w:rsidDel="00000000" w:rsidR="00000000" w:rsidRPr="00000000">
        <w:rPr>
          <w:smallCaps w:val="1"/>
          <w:rtl w:val="0"/>
        </w:rPr>
        <w:t xml:space="preserve">abstract</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5" w:firstLine="142"/>
        <w:jc w:val="both"/>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5" w:firstLine="142"/>
        <w:jc w:val="both"/>
        <w:rPr>
          <w:b w:val="1"/>
          <w:sz w:val="18"/>
          <w:szCs w:val="18"/>
          <w:highlight w:val="red"/>
        </w:rPr>
      </w:pPr>
      <w:r w:rsidDel="00000000" w:rsidR="00000000" w:rsidRPr="00000000">
        <w:rPr>
          <w:b w:val="1"/>
          <w:sz w:val="18"/>
          <w:szCs w:val="18"/>
          <w:rtl w:val="0"/>
        </w:rPr>
        <w:t xml:space="preserve">Abstract-</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5" w:firstLine="142"/>
        <w:jc w:val="both"/>
        <w:rPr>
          <w:b w:val="1"/>
          <w:sz w:val="18"/>
          <w:szCs w:val="18"/>
          <w:highlight w:val="red"/>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5" w:firstLine="142"/>
        <w:jc w:val="both"/>
        <w:rPr>
          <w:b w:val="1"/>
          <w:sz w:val="18"/>
          <w:szCs w:val="18"/>
          <w:highlight w:val="red"/>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5" w:firstLine="0"/>
        <w:jc w:val="both"/>
        <w:rPr>
          <w:rFonts w:ascii="Arial" w:cs="Arial" w:eastAsia="Arial" w:hAnsi="Arial"/>
          <w:b w:val="1"/>
          <w:color w:val="212121"/>
          <w:sz w:val="24"/>
          <w:szCs w:val="24"/>
          <w:highlight w:val="red"/>
        </w:rPr>
      </w:pPr>
      <w:r w:rsidDel="00000000" w:rsidR="00000000" w:rsidRPr="00000000">
        <w:rPr>
          <w:b w:val="1"/>
          <w:sz w:val="18"/>
          <w:szCs w:val="18"/>
          <w:rtl w:val="0"/>
        </w:rPr>
        <w:t xml:space="preserve">Keywords-</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5" w:firstLine="0"/>
        <w:jc w:val="both"/>
        <w:rPr>
          <w:b w:val="1"/>
          <w:sz w:val="18"/>
          <w:szCs w:val="18"/>
        </w:rPr>
      </w:pPr>
      <w:r w:rsidDel="00000000" w:rsidR="00000000" w:rsidRPr="00000000">
        <w:rPr>
          <w:rtl w:val="0"/>
        </w:rPr>
      </w:r>
    </w:p>
    <w:p w:rsidR="00000000" w:rsidDel="00000000" w:rsidP="00000000" w:rsidRDefault="00000000" w:rsidRPr="00000000" w14:paraId="00000016">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smallCaps w:val="1"/>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Introducción</w:t>
      </w:r>
    </w:p>
    <w:p w:rsidR="00000000" w:rsidDel="00000000" w:rsidP="00000000" w:rsidRDefault="00000000" w:rsidRPr="00000000" w14:paraId="00000017">
      <w:pPr>
        <w:spacing w:after="240" w:before="240" w:line="240" w:lineRule="auto"/>
        <w:ind w:firstLine="700"/>
        <w:rPr>
          <w:highlight w:val="red"/>
        </w:rPr>
      </w:pPr>
      <w:r w:rsidDel="00000000" w:rsidR="00000000" w:rsidRPr="00000000">
        <w:rPr>
          <w:rtl w:val="0"/>
        </w:rPr>
      </w:r>
    </w:p>
    <w:p w:rsidR="00000000" w:rsidDel="00000000" w:rsidP="00000000" w:rsidRDefault="00000000" w:rsidRPr="00000000" w14:paraId="00000018">
      <w:pPr>
        <w:spacing w:after="240" w:before="240" w:line="240" w:lineRule="auto"/>
        <w:ind w:firstLine="700"/>
        <w:rPr>
          <w:highlight w:val="red"/>
        </w:rPr>
      </w:pPr>
      <w:r w:rsidDel="00000000" w:rsidR="00000000" w:rsidRPr="00000000">
        <w:rPr>
          <w:rtl w:val="0"/>
        </w:rPr>
      </w:r>
    </w:p>
    <w:p w:rsidR="00000000" w:rsidDel="00000000" w:rsidP="00000000" w:rsidRDefault="00000000" w:rsidRPr="00000000" w14:paraId="00000019">
      <w:pPr>
        <w:spacing w:after="240" w:before="240" w:line="240" w:lineRule="auto"/>
        <w:ind w:firstLine="700"/>
        <w:rPr>
          <w:highlight w:val="red"/>
        </w:rPr>
      </w:pPr>
      <w:r w:rsidDel="00000000" w:rsidR="00000000" w:rsidRPr="00000000">
        <w:rPr>
          <w:rtl w:val="0"/>
        </w:rPr>
      </w:r>
    </w:p>
    <w:p w:rsidR="00000000" w:rsidDel="00000000" w:rsidP="00000000" w:rsidRDefault="00000000" w:rsidRPr="00000000" w14:paraId="0000001A">
      <w:pPr>
        <w:spacing w:after="240" w:before="240" w:line="240" w:lineRule="auto"/>
        <w:ind w:firstLine="700"/>
        <w:rPr>
          <w:highlight w:val="red"/>
        </w:rPr>
      </w:pPr>
      <w:r w:rsidDel="00000000" w:rsidR="00000000" w:rsidRPr="00000000">
        <w:rPr>
          <w:rtl w:val="0"/>
        </w:rPr>
      </w:r>
    </w:p>
    <w:p w:rsidR="00000000" w:rsidDel="00000000" w:rsidP="00000000" w:rsidRDefault="00000000" w:rsidRPr="00000000" w14:paraId="0000001B">
      <w:pPr>
        <w:spacing w:after="240" w:before="240" w:line="240" w:lineRule="auto"/>
        <w:ind w:firstLine="700"/>
        <w:rPr>
          <w:highlight w:val="red"/>
        </w:rPr>
      </w:pPr>
      <w:r w:rsidDel="00000000" w:rsidR="00000000" w:rsidRPr="00000000">
        <w:rPr>
          <w:rtl w:val="0"/>
        </w:rPr>
      </w:r>
    </w:p>
    <w:p w:rsidR="00000000" w:rsidDel="00000000" w:rsidP="00000000" w:rsidRDefault="00000000" w:rsidRPr="00000000" w14:paraId="0000001C">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smallCaps w:val="1"/>
          <w:strike w:val="0"/>
          <w:color w:val="000000"/>
          <w:sz w:val="20"/>
          <w:szCs w:val="20"/>
          <w:u w:val="none"/>
          <w:shd w:fill="auto" w:val="clear"/>
        </w:rPr>
      </w:pPr>
      <w:r w:rsidDel="00000000" w:rsidR="00000000" w:rsidRPr="00000000">
        <w:rPr>
          <w:smallCaps w:val="1"/>
          <w:rtl w:val="0"/>
        </w:rPr>
        <w:t xml:space="preserve">Problemática </w:t>
      </w:r>
    </w:p>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right="0"/>
        <w:rPr/>
      </w:pPr>
      <w:r w:rsidDel="00000000" w:rsidR="00000000" w:rsidRPr="00000000">
        <w:rPr>
          <w:smallCaps w:val="1"/>
          <w:rtl w:val="0"/>
        </w:rPr>
        <w:tab/>
      </w:r>
      <w:r w:rsidDel="00000000" w:rsidR="00000000" w:rsidRPr="00000000">
        <w:rPr>
          <w:rtl w:val="0"/>
        </w:rPr>
        <w:t xml:space="preserve">En las sociedades modernas, a menudo no se valora la edad, experiencia o el conocimiento de los adultos mayores. En ese contexto, la tecnología contribuye a que aumente la brecha generacional, porque a ellos les cuesta más adaptarse a los avances en este campo y la sociedad no logra integrarlos.Para ello es relevante comprender que los adultos mayores  crecieron en una época distinta y que no solo deben adaptarse a los cambios de la edad, sino a las nuevas tecnologías en un mundo que va más rápido de lo que ellos están acostumbrados.</w:t>
      </w:r>
    </w:p>
    <w:p w:rsidR="00000000" w:rsidDel="00000000" w:rsidP="00000000" w:rsidRDefault="00000000" w:rsidRPr="00000000" w14:paraId="0000001E">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right="0"/>
        <w:rPr/>
      </w:pPr>
      <w:r w:rsidDel="00000000" w:rsidR="00000000" w:rsidRPr="00000000">
        <w:rPr>
          <w:rtl w:val="0"/>
        </w:rPr>
        <w:t xml:space="preserve">No obstante, la personalidad, la resistencia natural al cambio, la falta de conocimiento y el hecho de que los aparatos no estén acondicionados a sus capacidades limitadas debido a la edad, como la visión, el equilibrio,plataformas y la coordinación con los dedos, son factores que influyen en que muchos queden excluidos del uso de nuevas tecnologías. </w:t>
      </w:r>
    </w:p>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right="0"/>
        <w:rPr/>
      </w:pPr>
      <w:r w:rsidDel="00000000" w:rsidR="00000000" w:rsidRPr="00000000">
        <w:rPr>
          <w:rtl w:val="0"/>
        </w:rPr>
        <w:t xml:space="preserve">“Los intereses y prioridades al llegar a cierta edad cambian significativamente. La tecnología y muchos otros temas son vistos, en la mayoría de los casos, como algo complejo, los dispositivos tecnológicos son costosos y quizás por ello no son un elemento que se atrevan a tocar para no dañarlos; adicionalmente, representan el pasar por una capacitación y muchos consideran que no están para aprender nada”, agrega Nicolás Samaniego, decano de la Facultad de Ingeniería de Sistemas Computacionales de la Universidad Tecnológica de Panamá (UTP).  </w:t>
      </w:r>
    </w:p>
    <w:p w:rsidR="00000000" w:rsidDel="00000000" w:rsidP="00000000" w:rsidRDefault="00000000" w:rsidRPr="00000000" w14:paraId="00000020">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right="0"/>
        <w:rPr/>
      </w:pPr>
      <w:r w:rsidDel="00000000" w:rsidR="00000000" w:rsidRPr="00000000">
        <w:rPr>
          <w:rtl w:val="0"/>
        </w:rPr>
        <w:t xml:space="preserve">A algunos abuelos les da pena aprender a usar dispositivos nuevos, porque se sienten como una “carga” o que atrasan a los demás con explicaciones; pero, según la docente e investigadora de la Unidad de Extensión de la Facultad de Informática, Electrónica y Comunicación de la Universidad de Panamá, Donna Roper, eso ocurre si quienes están a su alrededor les hacen sentir vergüenza.</w:t>
      </w:r>
    </w:p>
    <w:p w:rsidR="00000000" w:rsidDel="00000000" w:rsidP="00000000" w:rsidRDefault="00000000" w:rsidRPr="00000000" w14:paraId="00000021">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right="0"/>
        <w:rPr/>
      </w:pPr>
      <w:r w:rsidDel="00000000" w:rsidR="00000000" w:rsidRPr="00000000">
        <w:rPr>
          <w:rtl w:val="0"/>
        </w:rPr>
        <w:t xml:space="preserve">Se considera que se trata de un problema cultural, y resalta que la “inclusión” no solo se refiere a las personas con algún tipo de discapacidad, sino también a los adultos mayores. “Ellos son inmigrantes tecnológicos, tienen derecho a conocer y usar la tecnología, y el resto de la sociedad tiene la obligación de llevarlos y traerlos sobre la brecha generacional y tecnológica. Se debe acomodar, preparar e integrar al adulto mayor dentro del escenario de la sociedad del conocimiento y la información”, sustenta.</w:t>
      </w:r>
    </w:p>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right="0"/>
        <w:rPr/>
      </w:pPr>
      <w:r w:rsidDel="00000000" w:rsidR="00000000" w:rsidRPr="00000000">
        <w:rPr>
          <w:rtl w:val="0"/>
        </w:rPr>
        <w:t xml:space="preserve">En vista de todas estas diversas razones por la cual los adultos mayores no pueden establecer una conexión fácil y segura por las plataformas ya que para ellos entenderlos les resulta complicado ya que la mayoría de las plataformas o videos que enseñen a usar las tecnologías como por ejemplo redes sociales ,videos ,descargar de música y aplicaciones diversas ;ellos no cuentan con alguien que le enseñe de manera propia de ellos y ante toda esta necesidad nace la iniciativa “TecnoEducate50”</w:t>
      </w:r>
    </w:p>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right="0"/>
        <w:rPr/>
      </w:pPr>
      <w:r w:rsidDel="00000000" w:rsidR="00000000" w:rsidRPr="00000000">
        <w:rPr>
          <w:rtl w:val="0"/>
        </w:rPr>
      </w:r>
    </w:p>
    <w:p w:rsidR="00000000" w:rsidDel="00000000" w:rsidP="00000000" w:rsidRDefault="00000000" w:rsidRPr="00000000" w14:paraId="00000024">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smallCaps w:val="1"/>
          <w:u w:val="none"/>
        </w:rPr>
      </w:pPr>
      <w:r w:rsidDel="00000000" w:rsidR="00000000" w:rsidRPr="00000000">
        <w:rPr>
          <w:smallCaps w:val="1"/>
          <w:rtl w:val="0"/>
        </w:rPr>
        <w:t xml:space="preserve">Solución</w:t>
      </w:r>
    </w:p>
    <w:p w:rsidR="00000000" w:rsidDel="00000000" w:rsidP="00000000" w:rsidRDefault="00000000" w:rsidRPr="00000000" w14:paraId="00000025">
      <w:pPr>
        <w:keepNext w:val="1"/>
        <w:spacing w:after="240" w:before="240" w:lineRule="auto"/>
        <w:ind w:firstLine="700"/>
        <w:rPr/>
      </w:pPr>
      <w:r w:rsidDel="00000000" w:rsidR="00000000" w:rsidRPr="00000000">
        <w:rPr>
          <w:rtl w:val="0"/>
        </w:rPr>
        <w:t xml:space="preserve">Pese a la resistencia que pueden presentar algunos abuelos, hay muchos adultos mayores que ven la tecnología como un medio de obtener lo que buscan en esos años de menos compromisos. Pueden comprender que son capaces de contribuir con sus familiares en ciertas tareas (escolares, por ejemplo), acceder a recetas de cocina, ver programas de televisión o la novela de moda y comunicarse.  "Al tomar conciencia de este potencial, se crea motivación, se rompe la barrera del temor y asimilan la tecnología sin mayores problemas.  Este no es un tema de edad, sino de interés y potencial, que se facilita con los dispositivos táctiles, debido a que anteriormente era un tanto complejo el que aprendieran a manejar un ratón".</w:t>
      </w:r>
    </w:p>
    <w:p w:rsidR="00000000" w:rsidDel="00000000" w:rsidP="00000000" w:rsidRDefault="00000000" w:rsidRPr="00000000" w14:paraId="00000026">
      <w:pPr>
        <w:keepNext w:val="1"/>
        <w:spacing w:after="240" w:before="240" w:lineRule="auto"/>
        <w:ind w:left="0" w:firstLine="0"/>
        <w:rPr/>
      </w:pPr>
      <w:r w:rsidDel="00000000" w:rsidR="00000000" w:rsidRPr="00000000">
        <w:rPr>
          <w:rtl w:val="0"/>
        </w:rPr>
        <w:t xml:space="preserve">Ante ello surgen ideas facilitadoras  como:</w:t>
      </w:r>
    </w:p>
    <w:p w:rsidR="00000000" w:rsidDel="00000000" w:rsidP="00000000" w:rsidRDefault="00000000" w:rsidRPr="00000000" w14:paraId="00000027">
      <w:pPr>
        <w:keepNext w:val="1"/>
        <w:spacing w:after="240" w:before="240" w:lineRule="auto"/>
        <w:ind w:firstLine="700"/>
        <w:rPr/>
      </w:pPr>
      <w:r w:rsidDel="00000000" w:rsidR="00000000" w:rsidRPr="00000000">
        <w:rPr>
          <w:rtl w:val="0"/>
        </w:rPr>
        <w:t xml:space="preserve">-Escoger aparatos que les sean cómodos y fáciles de manipular. Las pantallas se pueden configurar con letras más grandes.</w:t>
      </w:r>
    </w:p>
    <w:p w:rsidR="00000000" w:rsidDel="00000000" w:rsidP="00000000" w:rsidRDefault="00000000" w:rsidRPr="00000000" w14:paraId="00000028">
      <w:pPr>
        <w:keepNext w:val="1"/>
        <w:spacing w:after="240" w:before="240" w:lineRule="auto"/>
        <w:ind w:firstLine="700"/>
        <w:rPr/>
      </w:pPr>
      <w:r w:rsidDel="00000000" w:rsidR="00000000" w:rsidRPr="00000000">
        <w:rPr>
          <w:rtl w:val="0"/>
        </w:rPr>
        <w:t xml:space="preserve">- El adulto mayor puede aprender, entre otras cosas, a navegar en internet, leer las noticias, artículos, ver videos o películas, participar en una red social y en grupos de chat con familiares y amistades, usar Skype para mantenerse en contacto con personas que están lejos, y a jugar videojuegos con los nietos. Incluso, hay canales de juegos en la plataforma de cable o de Smart TV.</w:t>
      </w:r>
    </w:p>
    <w:p w:rsidR="00000000" w:rsidDel="00000000" w:rsidP="00000000" w:rsidRDefault="00000000" w:rsidRPr="00000000" w14:paraId="00000029">
      <w:pPr>
        <w:keepNext w:val="1"/>
        <w:spacing w:after="240" w:before="240" w:lineRule="auto"/>
        <w:ind w:firstLine="700"/>
        <w:rPr/>
      </w:pPr>
      <w:r w:rsidDel="00000000" w:rsidR="00000000" w:rsidRPr="00000000">
        <w:rPr>
          <w:rtl w:val="0"/>
        </w:rPr>
        <w:t xml:space="preserve">- Otra opción es ayudarlo a crear un foro o blog donde comparte su conocimiento y experiencias. Esto les ayuda a ejercitar su mente, pensando y recordando.</w:t>
      </w:r>
    </w:p>
    <w:p w:rsidR="00000000" w:rsidDel="00000000" w:rsidP="00000000" w:rsidRDefault="00000000" w:rsidRPr="00000000" w14:paraId="0000002A">
      <w:pPr>
        <w:keepNext w:val="1"/>
        <w:spacing w:after="240" w:before="240" w:lineRule="auto"/>
        <w:ind w:firstLine="700"/>
        <w:rPr/>
      </w:pPr>
      <w:r w:rsidDel="00000000" w:rsidR="00000000" w:rsidRPr="00000000">
        <w:rPr>
          <w:rtl w:val="0"/>
        </w:rPr>
        <w:t xml:space="preserve">Al respecto, la doctora Britton señala que mantener la mente activa es recomendable a cualquier edad y, en especial, en los adultos mayores que pudieran presentar un deterioro cognitivo asociado a la edad. “Las nuevas tecnologías promueven la salud cognitiva, ya que toda actividad en la cual tenemos que aprender implica la formación de nuevas neuronas y conexiones,</w:t>
      </w:r>
    </w:p>
    <w:p w:rsidR="00000000" w:rsidDel="00000000" w:rsidP="00000000" w:rsidRDefault="00000000" w:rsidRPr="00000000" w14:paraId="0000002B">
      <w:pPr>
        <w:keepNext w:val="1"/>
        <w:spacing w:after="240" w:before="240" w:lineRule="auto"/>
        <w:ind w:firstLine="700"/>
        <w:rPr/>
      </w:pPr>
      <w:r w:rsidDel="00000000" w:rsidR="00000000" w:rsidRPr="00000000">
        <w:rPr>
          <w:rtl w:val="0"/>
        </w:rPr>
        <w:t xml:space="preserve">Ahora en base a todos estos puntos de vista motivadores de inclusión a los adultos mayores en esta era tecnológica nace la idea “TecnoEducate”.</w:t>
      </w:r>
    </w:p>
    <w:p w:rsidR="00000000" w:rsidDel="00000000" w:rsidP="00000000" w:rsidRDefault="00000000" w:rsidRPr="00000000" w14:paraId="0000002C">
      <w:pPr>
        <w:keepNext w:val="1"/>
        <w:spacing w:after="240" w:before="240" w:lineRule="auto"/>
        <w:ind w:firstLine="700"/>
        <w:rPr/>
      </w:pPr>
      <w:r w:rsidDel="00000000" w:rsidR="00000000" w:rsidRPr="00000000">
        <w:rPr>
          <w:rtl w:val="0"/>
        </w:rPr>
        <w:t xml:space="preserve">Como método de solución a esta necesidad que surge de enseñar cómo desenvolverse en el mundo tecnológico a este sector poblacional ,”TecnoEducate” es una plataforma fácil e interactiva donde encontrará diferentes cursos bajo la perspectiva MOOC ,que son fundamentales para inicar en la era tecnológica como por ejemplo uso de las redes sociales ,enseñadas de manera didáctica y concentrada como para este sector ,además de algunas cursos más complejos a medida que vayan avanzando o si desean experimentar como por ejemplo iniciar un blog ,etc.</w:t>
      </w:r>
    </w:p>
    <w:p w:rsidR="00000000" w:rsidDel="00000000" w:rsidP="00000000" w:rsidRDefault="00000000" w:rsidRPr="00000000" w14:paraId="0000002D">
      <w:pPr>
        <w:keepNext w:val="1"/>
        <w:spacing w:after="240" w:before="240" w:lineRule="auto"/>
        <w:ind w:firstLine="700"/>
        <w:rPr/>
      </w:pPr>
      <w:r w:rsidDel="00000000" w:rsidR="00000000" w:rsidRPr="00000000">
        <w:rPr>
          <w:rtl w:val="0"/>
        </w:rPr>
        <w:t xml:space="preserve">La plataforma estará adaptada desde la neurociencia por ejemplo el formato,color,tamaño,videos y facilidad desde la primera vez de ingreso.</w:t>
      </w:r>
    </w:p>
    <w:p w:rsidR="00000000" w:rsidDel="00000000" w:rsidP="00000000" w:rsidRDefault="00000000" w:rsidRPr="00000000" w14:paraId="0000002E">
      <w:pPr>
        <w:keepNext w:val="1"/>
        <w:spacing w:after="240" w:before="240" w:lineRule="auto"/>
        <w:ind w:firstLine="700"/>
        <w:rPr/>
      </w:pPr>
      <w:r w:rsidDel="00000000" w:rsidR="00000000" w:rsidRPr="00000000">
        <w:rPr>
          <w:rtl w:val="0"/>
        </w:rPr>
        <w:t xml:space="preserve">La idea central es que la primera vez la persona acompañante pueda buscar la plataforma desde Google y ya desde que la plataforma MOOC se encuentre cargada ,ya no necesitará ayuda,y desde entonces comenzará con las principales funciones de comunicación que es lo que trae a todo el mundo envuelto y así las personas mayores puedan ser autónomos y aprender de una manera fácil y temas desde lo más básico.</w:t>
      </w:r>
    </w:p>
    <w:p w:rsidR="00000000" w:rsidDel="00000000" w:rsidP="00000000" w:rsidRDefault="00000000" w:rsidRPr="00000000" w14:paraId="0000002F">
      <w:pPr>
        <w:shd w:fill="ffffff" w:val="clear"/>
        <w:spacing w:after="160" w:lineRule="auto"/>
        <w:rPr/>
      </w:pPr>
      <w:r w:rsidDel="00000000" w:rsidR="00000000" w:rsidRPr="00000000">
        <w:rPr>
          <w:rtl w:val="0"/>
        </w:rPr>
        <w:t xml:space="preserve">Pero surge la duda </w:t>
      </w:r>
      <w:r w:rsidDel="00000000" w:rsidR="00000000" w:rsidRPr="00000000">
        <w:rPr>
          <w:rtl w:val="0"/>
        </w:rPr>
        <w:t xml:space="preserve">¿Por qué es importante que aprendan?</w:t>
      </w:r>
    </w:p>
    <w:p w:rsidR="00000000" w:rsidDel="00000000" w:rsidP="00000000" w:rsidRDefault="00000000" w:rsidRPr="00000000" w14:paraId="00000030">
      <w:pPr>
        <w:shd w:fill="ffffff" w:val="clear"/>
        <w:spacing w:after="160" w:lineRule="auto"/>
        <w:rPr/>
      </w:pPr>
      <w:r w:rsidDel="00000000" w:rsidR="00000000" w:rsidRPr="00000000">
        <w:rPr>
          <w:rtl w:val="0"/>
        </w:rPr>
        <w:t xml:space="preserve">Aunque muchos adultos mayores no se sientan en la disposición o necesidad de aprender a usar las nuevas tecnologías, los dispositivos móviles o las redes sociales, este aprendizaje podría ser beneficioso para su salud. </w:t>
      </w:r>
    </w:p>
    <w:p w:rsidR="00000000" w:rsidDel="00000000" w:rsidP="00000000" w:rsidRDefault="00000000" w:rsidRPr="00000000" w14:paraId="00000031">
      <w:pPr>
        <w:shd w:fill="ffffff" w:val="clear"/>
        <w:spacing w:after="160" w:lineRule="auto"/>
        <w:ind w:firstLine="720"/>
        <w:rPr/>
      </w:pPr>
      <w:r w:rsidDel="00000000" w:rsidR="00000000" w:rsidRPr="00000000">
        <w:rPr>
          <w:rtl w:val="0"/>
        </w:rPr>
        <w:t xml:space="preserve">-Se generan nuevas neuronas. </w:t>
      </w:r>
    </w:p>
    <w:p w:rsidR="00000000" w:rsidDel="00000000" w:rsidP="00000000" w:rsidRDefault="00000000" w:rsidRPr="00000000" w14:paraId="00000032">
      <w:pPr>
        <w:shd w:fill="ffffff" w:val="clear"/>
        <w:spacing w:after="160" w:lineRule="auto"/>
        <w:ind w:firstLine="720"/>
        <w:rPr/>
      </w:pPr>
      <w:r w:rsidDel="00000000" w:rsidR="00000000" w:rsidRPr="00000000">
        <w:rPr>
          <w:rtl w:val="0"/>
        </w:rPr>
        <w:t xml:space="preserve">- Cada día nacen neuronas nuevas en el hipocampo y que estimula a aprender nuevas tareas motiva ese nacimiento. </w:t>
      </w:r>
    </w:p>
    <w:p w:rsidR="00000000" w:rsidDel="00000000" w:rsidP="00000000" w:rsidRDefault="00000000" w:rsidRPr="00000000" w14:paraId="00000033">
      <w:pPr>
        <w:shd w:fill="ffffff" w:val="clear"/>
        <w:spacing w:after="160" w:lineRule="auto"/>
        <w:ind w:firstLine="720"/>
        <w:rPr/>
      </w:pPr>
      <w:r w:rsidDel="00000000" w:rsidR="00000000" w:rsidRPr="00000000">
        <w:rPr>
          <w:rtl w:val="0"/>
        </w:rPr>
        <w:t xml:space="preserve">-El aprendizaje del manejo adecuado de la tecnología les permite a las personas mayores romper prejuicios sobre el tema y además, conocer otros puntos de vista. </w:t>
      </w:r>
    </w:p>
    <w:p w:rsidR="00000000" w:rsidDel="00000000" w:rsidP="00000000" w:rsidRDefault="00000000" w:rsidRPr="00000000" w14:paraId="00000034">
      <w:pPr>
        <w:shd w:fill="ffffff" w:val="clear"/>
        <w:spacing w:after="160" w:lineRule="auto"/>
        <w:ind w:firstLine="720"/>
        <w:rPr/>
      </w:pPr>
      <w:r w:rsidDel="00000000" w:rsidR="00000000" w:rsidRPr="00000000">
        <w:rPr>
          <w:rtl w:val="0"/>
        </w:rPr>
        <w:t xml:space="preserve">- El manejo de las nuevas tecnologías es que encuentran una mayor independencia en su accionar de la vida cotidiana. Acceden con mayor rapidez a la información sobre herramientas que pueden servirles de apoyo en la vida diaria. </w:t>
      </w:r>
    </w:p>
    <w:p w:rsidR="00000000" w:rsidDel="00000000" w:rsidP="00000000" w:rsidRDefault="00000000" w:rsidRPr="00000000" w14:paraId="00000035">
      <w:pPr>
        <w:shd w:fill="ffffff" w:val="clear"/>
        <w:spacing w:after="160" w:lineRule="auto"/>
        <w:ind w:firstLine="720"/>
        <w:rPr/>
      </w:pPr>
      <w:r w:rsidDel="00000000" w:rsidR="00000000" w:rsidRPr="00000000">
        <w:rPr>
          <w:rtl w:val="0"/>
        </w:rPr>
        <w:t xml:space="preserve">-Se mantienen más activos. “Piensan en menor grado en sus dolencias y permanecen más integrados con la comunidad, lo cual les permite sentirse parte de ella y superar la sensación de exclusión y vacío que por lo general acompaña a esta edad debido a la brecha generacional”.</w:t>
      </w:r>
    </w:p>
    <w:p w:rsidR="00000000" w:rsidDel="00000000" w:rsidP="00000000" w:rsidRDefault="00000000" w:rsidRPr="00000000" w14:paraId="00000036">
      <w:pPr>
        <w:shd w:fill="ffffff" w:val="clear"/>
        <w:spacing w:after="160" w:lineRule="auto"/>
        <w:ind w:firstLine="720"/>
        <w:rPr/>
      </w:pPr>
      <w:r w:rsidDel="00000000" w:rsidR="00000000" w:rsidRPr="00000000">
        <w:rPr>
          <w:rtl w:val="0"/>
        </w:rPr>
      </w:r>
    </w:p>
    <w:p w:rsidR="00000000" w:rsidDel="00000000" w:rsidP="00000000" w:rsidRDefault="00000000" w:rsidRPr="00000000" w14:paraId="00000037">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smallCaps w:val="1"/>
          <w:u w:val="none"/>
        </w:rPr>
      </w:pPr>
      <w:r w:rsidDel="00000000" w:rsidR="00000000" w:rsidRPr="00000000">
        <w:rPr>
          <w:smallCaps w:val="1"/>
          <w:rtl w:val="0"/>
        </w:rPr>
        <w:t xml:space="preserve">Plan de trabajo</w:t>
      </w:r>
    </w:p>
    <w:p w:rsidR="00000000" w:rsidDel="00000000" w:rsidP="00000000" w:rsidRDefault="00000000" w:rsidRPr="00000000" w14:paraId="00000038">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right="0" w:firstLine="720"/>
        <w:jc w:val="left"/>
        <w:rPr/>
      </w:pPr>
      <w:r w:rsidDel="00000000" w:rsidR="00000000" w:rsidRPr="00000000">
        <w:rPr>
          <w:rtl w:val="0"/>
        </w:rPr>
        <w:t xml:space="preserve">Como toda idea que se quiere proyectar a ser un innovador y útil recurso a servicio de la sociedad es necesario un plan de trabajo para ello se  plasmará de forma general los diferentes pasos:</w:t>
      </w:r>
    </w:p>
    <w:p w:rsidR="00000000" w:rsidDel="00000000" w:rsidP="00000000" w:rsidRDefault="00000000" w:rsidRPr="00000000" w14:paraId="00000039">
      <w:pPr>
        <w:keepNext w:val="1"/>
        <w:numPr>
          <w:ilvl w:val="0"/>
          <w:numId w:val="1"/>
        </w:numPr>
        <w:spacing w:after="0" w:afterAutospacing="0" w:lineRule="auto"/>
        <w:ind w:left="1100" w:hanging="360"/>
        <w:jc w:val="left"/>
      </w:pPr>
      <w:r w:rsidDel="00000000" w:rsidR="00000000" w:rsidRPr="00000000">
        <w:rPr>
          <w:rtl w:val="0"/>
        </w:rPr>
        <w:t xml:space="preserve">SEMANA8: Presentación del proyecto final del curso e identificación de la problemática.</w:t>
      </w:r>
    </w:p>
    <w:p w:rsidR="00000000" w:rsidDel="00000000" w:rsidP="00000000" w:rsidRDefault="00000000" w:rsidRPr="00000000" w14:paraId="0000003A">
      <w:pPr>
        <w:keepNext w:val="1"/>
        <w:numPr>
          <w:ilvl w:val="0"/>
          <w:numId w:val="1"/>
        </w:numPr>
        <w:spacing w:after="0" w:afterAutospacing="0" w:lineRule="auto"/>
        <w:ind w:left="1100" w:hanging="360"/>
        <w:jc w:val="left"/>
      </w:pPr>
      <w:r w:rsidDel="00000000" w:rsidR="00000000" w:rsidRPr="00000000">
        <w:rPr>
          <w:rtl w:val="0"/>
        </w:rPr>
        <w:t xml:space="preserve">SEMANA9: Selección del tema del sitio web y primer avance: Aplicación de Bootstrap. </w:t>
      </w:r>
    </w:p>
    <w:p w:rsidR="00000000" w:rsidDel="00000000" w:rsidP="00000000" w:rsidRDefault="00000000" w:rsidRPr="00000000" w14:paraId="0000003B">
      <w:pPr>
        <w:keepNext w:val="1"/>
        <w:numPr>
          <w:ilvl w:val="0"/>
          <w:numId w:val="1"/>
        </w:numPr>
        <w:spacing w:after="0" w:afterAutospacing="0" w:lineRule="auto"/>
        <w:ind w:left="1100" w:hanging="360"/>
        <w:jc w:val="left"/>
      </w:pPr>
      <w:r w:rsidDel="00000000" w:rsidR="00000000" w:rsidRPr="00000000">
        <w:rPr>
          <w:rtl w:val="0"/>
        </w:rPr>
        <w:t xml:space="preserve">SEMANA10: Segundo avance: Aplicación de Bootstrap e informe del sitio web diseñado.</w:t>
      </w:r>
    </w:p>
    <w:p w:rsidR="00000000" w:rsidDel="00000000" w:rsidP="00000000" w:rsidRDefault="00000000" w:rsidRPr="00000000" w14:paraId="0000003C">
      <w:pPr>
        <w:keepNext w:val="1"/>
        <w:numPr>
          <w:ilvl w:val="0"/>
          <w:numId w:val="1"/>
        </w:numPr>
        <w:spacing w:after="0" w:afterAutospacing="0" w:lineRule="auto"/>
        <w:ind w:left="1100" w:hanging="360"/>
        <w:jc w:val="left"/>
      </w:pPr>
      <w:r w:rsidDel="00000000" w:rsidR="00000000" w:rsidRPr="00000000">
        <w:rPr>
          <w:rtl w:val="0"/>
        </w:rPr>
        <w:t xml:space="preserve">SEMANA11: Presentación del primer entregable: Práctica Calificada 3.</w:t>
      </w:r>
    </w:p>
    <w:p w:rsidR="00000000" w:rsidDel="00000000" w:rsidP="00000000" w:rsidRDefault="00000000" w:rsidRPr="00000000" w14:paraId="0000003D">
      <w:pPr>
        <w:keepNext w:val="1"/>
        <w:numPr>
          <w:ilvl w:val="0"/>
          <w:numId w:val="1"/>
        </w:numPr>
        <w:spacing w:after="0" w:afterAutospacing="0" w:lineRule="auto"/>
        <w:ind w:left="1100" w:hanging="360"/>
        <w:jc w:val="left"/>
      </w:pPr>
      <w:r w:rsidDel="00000000" w:rsidR="00000000" w:rsidRPr="00000000">
        <w:rPr>
          <w:rtl w:val="0"/>
        </w:rPr>
        <w:t xml:space="preserve">SEMANA12: Tercer avance: Aplicación de Bootstrap e informe del sitio web diseñado.</w:t>
      </w:r>
    </w:p>
    <w:p w:rsidR="00000000" w:rsidDel="00000000" w:rsidP="00000000" w:rsidRDefault="00000000" w:rsidRPr="00000000" w14:paraId="0000003E">
      <w:pPr>
        <w:keepNext w:val="1"/>
        <w:numPr>
          <w:ilvl w:val="0"/>
          <w:numId w:val="1"/>
        </w:numPr>
        <w:spacing w:after="0" w:afterAutospacing="0" w:lineRule="auto"/>
        <w:ind w:left="1100" w:hanging="360"/>
        <w:jc w:val="left"/>
      </w:pPr>
      <w:r w:rsidDel="00000000" w:rsidR="00000000" w:rsidRPr="00000000">
        <w:rPr>
          <w:rtl w:val="0"/>
        </w:rPr>
        <w:t xml:space="preserve">SEMANA13: Presentación del segundo entregable: Práctica Calificada 4.</w:t>
      </w:r>
    </w:p>
    <w:p w:rsidR="00000000" w:rsidDel="00000000" w:rsidP="00000000" w:rsidRDefault="00000000" w:rsidRPr="00000000" w14:paraId="0000003F">
      <w:pPr>
        <w:keepNext w:val="1"/>
        <w:numPr>
          <w:ilvl w:val="0"/>
          <w:numId w:val="1"/>
        </w:numPr>
        <w:spacing w:after="200" w:lineRule="auto"/>
        <w:ind w:left="1100" w:hanging="360"/>
        <w:jc w:val="left"/>
      </w:pPr>
      <w:r w:rsidDel="00000000" w:rsidR="00000000" w:rsidRPr="00000000">
        <w:rPr>
          <w:rtl w:val="0"/>
        </w:rPr>
        <w:t xml:space="preserve">SEMANA14: Presentación final: Publicación online del sitio web</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0">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right="0" w:firstLine="720"/>
        <w:jc w:val="left"/>
        <w:rPr/>
      </w:pPr>
      <w:r w:rsidDel="00000000" w:rsidR="00000000" w:rsidRPr="00000000">
        <w:rPr>
          <w:rtl w:val="0"/>
        </w:rPr>
      </w:r>
    </w:p>
    <w:p w:rsidR="00000000" w:rsidDel="00000000" w:rsidP="00000000" w:rsidRDefault="00000000" w:rsidRPr="00000000" w14:paraId="00000041">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right="0"/>
        <w:jc w:val="center"/>
        <w:rPr>
          <w:smallCaps w:val="1"/>
        </w:rPr>
      </w:pPr>
      <w:r w:rsidDel="00000000" w:rsidR="00000000" w:rsidRPr="00000000">
        <w:rPr>
          <w:rtl w:val="0"/>
        </w:rPr>
      </w:r>
    </w:p>
    <w:p w:rsidR="00000000" w:rsidDel="00000000" w:rsidP="00000000" w:rsidRDefault="00000000" w:rsidRPr="00000000" w14:paraId="00000042">
      <w:pPr>
        <w:keepNext w:val="1"/>
        <w:spacing w:after="240" w:before="240" w:line="240" w:lineRule="auto"/>
        <w:ind w:firstLine="700"/>
        <w:rPr/>
      </w:pPr>
      <w:r w:rsidDel="00000000" w:rsidR="00000000" w:rsidRPr="00000000">
        <w:rPr>
          <w:rtl w:val="0"/>
        </w:rPr>
      </w:r>
    </w:p>
    <w:p w:rsidR="00000000" w:rsidDel="00000000" w:rsidP="00000000" w:rsidRDefault="00000000" w:rsidRPr="00000000" w14:paraId="00000043">
      <w:pPr>
        <w:keepNext w:val="1"/>
        <w:spacing w:after="240" w:before="240" w:line="240" w:lineRule="auto"/>
        <w:ind w:firstLine="700"/>
        <w:rPr/>
      </w:pPr>
      <w:r w:rsidDel="00000000" w:rsidR="00000000" w:rsidRPr="00000000">
        <w:rPr>
          <w:rtl w:val="0"/>
        </w:rPr>
      </w:r>
    </w:p>
    <w:p w:rsidR="00000000" w:rsidDel="00000000" w:rsidP="00000000" w:rsidRDefault="00000000" w:rsidRPr="00000000" w14:paraId="00000044">
      <w:pPr>
        <w:keepNext w:val="1"/>
        <w:spacing w:after="240" w:before="240" w:line="240" w:lineRule="auto"/>
        <w:ind w:firstLine="700"/>
        <w:rPr/>
      </w:pPr>
      <w:r w:rsidDel="00000000" w:rsidR="00000000" w:rsidRPr="00000000">
        <w:rPr>
          <w:rtl w:val="0"/>
        </w:rPr>
      </w:r>
    </w:p>
    <w:p w:rsidR="00000000" w:rsidDel="00000000" w:rsidP="00000000" w:rsidRDefault="00000000" w:rsidRPr="00000000" w14:paraId="00000045">
      <w:pPr>
        <w:keepNext w:val="1"/>
        <w:spacing w:after="240" w:before="240" w:line="240" w:lineRule="auto"/>
        <w:ind w:firstLine="700"/>
        <w:rPr/>
      </w:pPr>
      <w:r w:rsidDel="00000000" w:rsidR="00000000" w:rsidRPr="00000000">
        <w:rPr>
          <w:rtl w:val="0"/>
        </w:rPr>
      </w:r>
    </w:p>
    <w:p w:rsidR="00000000" w:rsidDel="00000000" w:rsidP="00000000" w:rsidRDefault="00000000" w:rsidRPr="00000000" w14:paraId="00000046">
      <w:pPr>
        <w:keepNext w:val="1"/>
        <w:spacing w:after="240" w:before="240" w:line="240" w:lineRule="auto"/>
        <w:ind w:firstLine="700"/>
        <w:rPr/>
      </w:pPr>
      <w:r w:rsidDel="00000000" w:rsidR="00000000" w:rsidRPr="00000000">
        <w:rPr>
          <w:rtl w:val="0"/>
        </w:rPr>
      </w:r>
    </w:p>
    <w:p w:rsidR="00000000" w:rsidDel="00000000" w:rsidP="00000000" w:rsidRDefault="00000000" w:rsidRPr="00000000" w14:paraId="00000047">
      <w:pPr>
        <w:keepNext w:val="1"/>
        <w:spacing w:after="240" w:before="240" w:line="240" w:lineRule="auto"/>
        <w:ind w:firstLine="700"/>
        <w:rPr/>
      </w:pPr>
      <w:r w:rsidDel="00000000" w:rsidR="00000000" w:rsidRPr="00000000">
        <w:rPr>
          <w:rtl w:val="0"/>
        </w:rPr>
      </w:r>
    </w:p>
    <w:p w:rsidR="00000000" w:rsidDel="00000000" w:rsidP="00000000" w:rsidRDefault="00000000" w:rsidRPr="00000000" w14:paraId="00000048">
      <w:pPr>
        <w:keepNext w:val="1"/>
        <w:spacing w:after="240" w:before="240" w:line="240" w:lineRule="auto"/>
        <w:ind w:firstLine="700"/>
        <w:rPr/>
      </w:pPr>
      <w:r w:rsidDel="00000000" w:rsidR="00000000" w:rsidRPr="00000000">
        <w:rPr>
          <w:rtl w:val="0"/>
        </w:rPr>
      </w:r>
    </w:p>
    <w:p w:rsidR="00000000" w:rsidDel="00000000" w:rsidP="00000000" w:rsidRDefault="00000000" w:rsidRPr="00000000" w14:paraId="00000049">
      <w:pPr>
        <w:keepNext w:val="1"/>
        <w:spacing w:after="240" w:before="240" w:line="240" w:lineRule="auto"/>
        <w:ind w:firstLine="700"/>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5"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rFonts w:ascii="Times New Roman" w:cs="Times New Roman" w:eastAsia="Times New Roman" w:hAnsi="Times New Roman"/>
          <w:smallCaps w:val="1"/>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Conclusiones</w:t>
      </w:r>
    </w:p>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right="0"/>
        <w:jc w:val="center"/>
        <w:rPr>
          <w:smallCaps w:val="1"/>
        </w:rPr>
      </w:pPr>
      <w:r w:rsidDel="00000000" w:rsidR="00000000" w:rsidRPr="00000000">
        <w:rPr>
          <w:rtl w:val="0"/>
        </w:rPr>
      </w:r>
    </w:p>
    <w:p w:rsidR="00000000" w:rsidDel="00000000" w:rsidP="00000000" w:rsidRDefault="00000000" w:rsidRPr="00000000" w14:paraId="0000004D">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right="0"/>
        <w:jc w:val="center"/>
        <w:rPr>
          <w:smallCaps w:val="1"/>
        </w:rPr>
      </w:pPr>
      <w:r w:rsidDel="00000000" w:rsidR="00000000" w:rsidRPr="00000000">
        <w:rPr>
          <w:rtl w:val="0"/>
        </w:rPr>
      </w:r>
    </w:p>
    <w:p w:rsidR="00000000" w:rsidDel="00000000" w:rsidP="00000000" w:rsidRDefault="00000000" w:rsidRPr="00000000" w14:paraId="0000004E">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right="0"/>
        <w:jc w:val="center"/>
        <w:rPr>
          <w:smallCaps w:val="1"/>
        </w:rPr>
      </w:pPr>
      <w:r w:rsidDel="00000000" w:rsidR="00000000" w:rsidRPr="00000000">
        <w:rPr>
          <w:rtl w:val="0"/>
        </w:rPr>
      </w:r>
    </w:p>
    <w:p w:rsidR="00000000" w:rsidDel="00000000" w:rsidP="00000000" w:rsidRDefault="00000000" w:rsidRPr="00000000" w14:paraId="0000004F">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right="0"/>
        <w:jc w:val="center"/>
        <w:rPr>
          <w:smallCaps w:val="1"/>
        </w:rPr>
      </w:pPr>
      <w:r w:rsidDel="00000000" w:rsidR="00000000" w:rsidRPr="00000000">
        <w:rPr>
          <w:rtl w:val="0"/>
        </w:rPr>
      </w:r>
    </w:p>
    <w:p w:rsidR="00000000" w:rsidDel="00000000" w:rsidP="00000000" w:rsidRDefault="00000000" w:rsidRPr="00000000" w14:paraId="00000050">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right="0"/>
        <w:jc w:val="center"/>
        <w:rPr>
          <w:smallCaps w:val="1"/>
        </w:rPr>
      </w:pPr>
      <w:r w:rsidDel="00000000" w:rsidR="00000000" w:rsidRPr="00000000">
        <w:rPr>
          <w:rtl w:val="0"/>
        </w:rPr>
      </w:r>
    </w:p>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Agradecimientos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45" w:firstLine="284"/>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 mi maestro que tiene el interés y valor necesario de llevarnos fuera de nuestra zona de confort para poder ver aquello que es parte de nuestro país, pero que ignoramos. A ellos y a todas las mentes brillantes que buscan redescubrir el mundo, gracias</w:t>
      </w:r>
      <w:r w:rsidDel="00000000" w:rsidR="00000000" w:rsidRPr="00000000">
        <w:rPr>
          <w:rtl w:val="0"/>
        </w:rPr>
      </w:r>
    </w:p>
    <w:p w:rsidR="00000000" w:rsidDel="00000000" w:rsidP="00000000" w:rsidRDefault="00000000" w:rsidRPr="00000000" w14:paraId="00000053">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Referencias</w:t>
      </w:r>
      <w:bookmarkStart w:colFirst="0" w:colLast="0" w:name="gjdgxs" w:id="0"/>
      <w:bookmarkEnd w:id="0"/>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w:t>
        <w:tab/>
      </w:r>
      <w:r w:rsidDel="00000000" w:rsidR="00000000" w:rsidRPr="00000000">
        <w:rPr>
          <w:rtl w:val="0"/>
        </w:rPr>
        <w:t xml:space="preserve">Enseñar tecnología a la tercera edad. (2016). [Blog]. Retrieved from</w:t>
      </w:r>
      <w:r w:rsidDel="00000000" w:rsidR="00000000" w:rsidRPr="00000000">
        <w:rPr>
          <w:rFonts w:ascii="Arial" w:cs="Arial" w:eastAsia="Arial" w:hAnsi="Arial"/>
          <w:highlight w:val="white"/>
          <w:rtl w:val="0"/>
        </w:rPr>
        <w:t xml:space="preserve"> </w:t>
      </w:r>
      <w:hyperlink r:id="rId9">
        <w:r w:rsidDel="00000000" w:rsidR="00000000" w:rsidRPr="00000000">
          <w:rPr>
            <w:rtl w:val="0"/>
          </w:rPr>
          <w:t xml:space="preserve">https://www.vanguardia.com/entretenimiento/galeria/ensenar-tecnologia-a-la-tercera-edad-AFVL374455</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r>
    </w:p>
    <w:p w:rsidR="00000000" w:rsidDel="00000000" w:rsidP="00000000" w:rsidRDefault="00000000" w:rsidRPr="00000000" w14:paraId="00000056">
      <w:pPr>
        <w:ind w:left="360"/>
        <w:rPr>
          <w:sz w:val="16"/>
          <w:szCs w:val="16"/>
        </w:rPr>
      </w:pPr>
      <w:r w:rsidDel="00000000" w:rsidR="00000000" w:rsidRPr="00000000">
        <w:rPr>
          <w:sz w:val="16"/>
          <w:szCs w:val="16"/>
          <w:rtl w:val="0"/>
        </w:rPr>
        <w:t xml:space="preserve">[2] </w:t>
      </w:r>
      <w:r w:rsidDel="00000000" w:rsidR="00000000" w:rsidRPr="00000000">
        <w:rPr>
          <w:rtl w:val="0"/>
        </w:rPr>
        <w:t xml:space="preserve">  </w:t>
      </w:r>
      <w:r w:rsidDel="00000000" w:rsidR="00000000" w:rsidRPr="00000000">
        <w:rPr>
          <w:rtl w:val="0"/>
        </w:rPr>
        <w:t xml:space="preserve">Del Moral, T. (2015). El adulto mayor frente a las nuevas tecnologías. Retrieved from </w:t>
      </w:r>
      <w:hyperlink r:id="rId10">
        <w:r w:rsidDel="00000000" w:rsidR="00000000" w:rsidRPr="00000000">
          <w:rPr>
            <w:color w:val="1155cc"/>
            <w:u w:val="single"/>
            <w:rtl w:val="0"/>
          </w:rPr>
          <w:t xml:space="preserve">https://www.prensa.com/tecnologia/TECNOLOGIA-ABUELO-EDUCACION-INFORMATICA-SOCIEDAD-FAMILIA_0_4318818254.html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7">
      <w:pPr>
        <w:ind w:left="360"/>
        <w:rPr>
          <w:sz w:val="16"/>
          <w:szCs w:val="16"/>
        </w:rPr>
      </w:pPr>
      <w:r w:rsidDel="00000000" w:rsidR="00000000" w:rsidRPr="00000000">
        <w:rPr>
          <w:rtl w:val="0"/>
        </w:rPr>
      </w:r>
    </w:p>
    <w:p w:rsidR="00000000" w:rsidDel="00000000" w:rsidP="00000000" w:rsidRDefault="00000000" w:rsidRPr="00000000" w14:paraId="00000058">
      <w:pPr>
        <w:ind w:left="360"/>
        <w:rPr>
          <w:sz w:val="16"/>
          <w:szCs w:val="16"/>
        </w:rPr>
      </w:pPr>
      <w:r w:rsidDel="00000000" w:rsidR="00000000" w:rsidRPr="00000000">
        <w:rPr>
          <w:sz w:val="16"/>
          <w:szCs w:val="16"/>
          <w:rtl w:val="0"/>
        </w:rPr>
        <w:t xml:space="preserve">  </w:t>
      </w:r>
    </w:p>
    <w:p w:rsidR="00000000" w:rsidDel="00000000" w:rsidP="00000000" w:rsidRDefault="00000000" w:rsidRPr="00000000" w14:paraId="00000059">
      <w:pPr>
        <w:ind w:left="360"/>
        <w:rPr>
          <w:sz w:val="16"/>
          <w:szCs w:val="16"/>
        </w:rPr>
      </w:pPr>
      <w:r w:rsidDel="00000000" w:rsidR="00000000" w:rsidRPr="00000000">
        <w:rPr>
          <w:sz w:val="16"/>
          <w:szCs w:val="16"/>
          <w:rtl w:val="0"/>
        </w:rPr>
        <w:t xml:space="preserve">[3]  </w:t>
      </w:r>
      <w:r w:rsidDel="00000000" w:rsidR="00000000" w:rsidRPr="00000000">
        <w:fldChar w:fldCharType="begin"/>
        <w:instrText xml:space="preserve"> HYPERLINK "https://es.mongabay.com/2018/08/lomas-de-amancaes-traficantes-terrenos/" </w:instrText>
        <w:fldChar w:fldCharType="separate"/>
      </w:r>
      <w:r w:rsidDel="00000000" w:rsidR="00000000" w:rsidRPr="00000000">
        <w:rPr>
          <w:rtl w:val="0"/>
        </w:rPr>
      </w:r>
    </w:p>
    <w:p w:rsidR="00000000" w:rsidDel="00000000" w:rsidP="00000000" w:rsidRDefault="00000000" w:rsidRPr="00000000" w14:paraId="0000005A">
      <w:pPr>
        <w:spacing w:after="240" w:before="240" w:line="240" w:lineRule="auto"/>
        <w:ind w:left="360"/>
        <w:rPr>
          <w:sz w:val="16"/>
          <w:szCs w:val="16"/>
        </w:rPr>
      </w:pPr>
      <w:r w:rsidDel="00000000" w:rsidR="00000000" w:rsidRPr="00000000">
        <w:fldChar w:fldCharType="end"/>
      </w:r>
      <w:r w:rsidDel="00000000" w:rsidR="00000000" w:rsidRPr="00000000">
        <w:rPr>
          <w:sz w:val="16"/>
          <w:szCs w:val="16"/>
          <w:rtl w:val="0"/>
        </w:rPr>
        <w:t xml:space="preserve">[4]</w:t>
      </w:r>
    </w:p>
    <w:p w:rsidR="00000000" w:rsidDel="00000000" w:rsidP="00000000" w:rsidRDefault="00000000" w:rsidRPr="00000000" w14:paraId="0000005B">
      <w:pPr>
        <w:spacing w:after="240" w:before="240" w:line="240" w:lineRule="auto"/>
        <w:ind w:left="360"/>
        <w:rPr>
          <w:rFonts w:ascii="Arial" w:cs="Arial" w:eastAsia="Arial" w:hAnsi="Arial"/>
          <w:color w:val="1155cc"/>
          <w:sz w:val="18"/>
          <w:szCs w:val="18"/>
          <w:highlight w:val="white"/>
          <w:u w:val="single"/>
        </w:rPr>
      </w:pPr>
      <w:r w:rsidDel="00000000" w:rsidR="00000000" w:rsidRPr="00000000">
        <w:rPr>
          <w:sz w:val="16"/>
          <w:szCs w:val="16"/>
          <w:rtl w:val="0"/>
        </w:rPr>
        <w:t xml:space="preserve">[5]   </w:t>
      </w:r>
      <w:r w:rsidDel="00000000" w:rsidR="00000000" w:rsidRPr="00000000">
        <w:fldChar w:fldCharType="begin"/>
        <w:instrText xml:space="preserve"> HYPERLINK "http://www.inforegion.pe/247279/advierten-peligro-sobre-las-lomas-de-amancaes/" </w:instrText>
        <w:fldChar w:fldCharType="separate"/>
      </w:r>
      <w:r w:rsidDel="00000000" w:rsidR="00000000" w:rsidRPr="00000000">
        <w:rPr>
          <w:rtl w:val="0"/>
        </w:rPr>
      </w:r>
    </w:p>
    <w:p w:rsidR="00000000" w:rsidDel="00000000" w:rsidP="00000000" w:rsidRDefault="00000000" w:rsidRPr="00000000" w14:paraId="0000005C">
      <w:pPr>
        <w:ind w:left="360"/>
        <w:rPr/>
      </w:pPr>
      <w:r w:rsidDel="00000000" w:rsidR="00000000" w:rsidRPr="00000000">
        <w:fldChar w:fldCharType="end"/>
      </w:r>
      <w:r w:rsidDel="00000000" w:rsidR="00000000" w:rsidRPr="00000000">
        <w:fldChar w:fldCharType="begin"/>
        <w:instrText xml:space="preserve"> HYPERLINK "https://www.rumbosdelperu.com/rutas-cortas/31-05-2018/lomas-de-lima-descubre-la-naturaleza-en-la-ciudad/" </w:instrText>
        <w:fldChar w:fldCharType="separate"/>
      </w:r>
      <w:r w:rsidDel="00000000" w:rsidR="00000000" w:rsidRPr="00000000">
        <w:rPr>
          <w:rtl w:val="0"/>
        </w:rPr>
      </w:r>
    </w:p>
    <w:p w:rsidR="00000000" w:rsidDel="00000000" w:rsidP="00000000" w:rsidRDefault="00000000" w:rsidRPr="00000000" w14:paraId="0000005D">
      <w:pPr>
        <w:ind w:left="360"/>
        <w:rPr>
          <w:sz w:val="16"/>
          <w:szCs w:val="16"/>
        </w:rPr>
      </w:pPr>
      <w:r w:rsidDel="00000000" w:rsidR="00000000" w:rsidRPr="00000000">
        <w:fldChar w:fldCharType="end"/>
      </w:r>
      <w:r w:rsidDel="00000000" w:rsidR="00000000" w:rsidRPr="00000000">
        <w:fldChar w:fldCharType="begin"/>
        <w:instrText xml:space="preserve"> HYPERLINK "https://www.serfor.gob.pe/wp-content/uploads/2018/07/18-FTC-Mangomarca.pdf" </w:instrText>
        <w:fldChar w:fldCharType="separate"/>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z w:val="16"/>
          <w:szCs w:val="16"/>
        </w:rPr>
      </w:pP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z w:val="16"/>
          <w:szCs w:val="16"/>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z w:val="16"/>
          <w:szCs w:val="16"/>
        </w:rPr>
      </w:pPr>
      <w:r w:rsidDel="00000000" w:rsidR="00000000" w:rsidRPr="00000000">
        <w:rPr>
          <w:rtl w:val="0"/>
        </w:rPr>
      </w:r>
    </w:p>
    <w:p w:rsidR="00000000" w:rsidDel="00000000" w:rsidP="00000000" w:rsidRDefault="00000000" w:rsidRPr="00000000" w14:paraId="00000061">
      <w:pPr>
        <w:shd w:fill="ffffff" w:val="clear"/>
        <w:spacing w:after="160" w:lineRule="auto"/>
        <w:rPr>
          <w:sz w:val="23"/>
          <w:szCs w:val="23"/>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sz w:val="16"/>
          <w:szCs w:val="16"/>
        </w:rPr>
      </w:pPr>
      <w:r w:rsidDel="00000000" w:rsidR="00000000" w:rsidRPr="00000000">
        <w:rPr>
          <w:rtl w:val="0"/>
        </w:rPr>
      </w:r>
    </w:p>
    <w:sectPr>
      <w:type w:val="continuous"/>
      <w:pgSz w:h="16840" w:w="11907"/>
      <w:pgMar w:bottom="1418" w:top="1134" w:left="1021" w:right="680" w:header="720" w:footer="720"/>
      <w:cols w:equalWidth="0" w:num="2">
        <w:col w:space="238" w:w="4984.000000000001"/>
        <w:col w:space="0" w:w="4984.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cente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6">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i w:val="0"/>
        <w:sz w:val="18"/>
        <w:szCs w:val="18"/>
        <w:vertAlign w:val="baseline"/>
      </w:rPr>
    </w:pPr>
    <w:r w:rsidDel="00000000" w:rsidR="00000000" w:rsidRPr="00000000">
      <w:rPr>
        <w:i w:val="1"/>
        <w:sz w:val="18"/>
        <w:szCs w:val="18"/>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Roman"/>
      <w:lvlText w:val="%1."/>
      <w:lvlJc w:val="left"/>
      <w:pPr>
        <w:ind w:left="0" w:firstLine="0"/>
      </w:pPr>
      <w:rPr>
        <w:b w:val="0"/>
        <w:i w:val="0"/>
        <w:vertAlign w:val="baseline"/>
      </w:rPr>
    </w:lvl>
    <w:lvl w:ilvl="1">
      <w:start w:val="1"/>
      <w:numFmt w:val="upperLetter"/>
      <w:lvlText w:val="%2. "/>
      <w:lvlJc w:val="left"/>
      <w:pPr>
        <w:ind w:left="0" w:firstLine="0"/>
      </w:pPr>
      <w:rPr>
        <w:b w:val="0"/>
        <w:i w:val="1"/>
        <w:vertAlign w:val="baseline"/>
      </w:rPr>
    </w:lvl>
    <w:lvl w:ilvl="2">
      <w:start w:val="1"/>
      <w:numFmt w:val="decimal"/>
      <w:lvlText w:val="%3."/>
      <w:lvlJc w:val="left"/>
      <w:pPr>
        <w:ind w:left="1440" w:firstLine="0"/>
      </w:pPr>
      <w:rPr>
        <w:vertAlign w:val="baseline"/>
      </w:rPr>
    </w:lvl>
    <w:lvl w:ilvl="3">
      <w:start w:val="1"/>
      <w:numFmt w:val="lowerLetter"/>
      <w:lvlText w:val="%4)"/>
      <w:lvlJc w:val="left"/>
      <w:pPr>
        <w:ind w:left="2160" w:firstLine="0"/>
      </w:pPr>
      <w:rPr>
        <w:vertAlign w:val="baseline"/>
      </w:rPr>
    </w:lvl>
    <w:lvl w:ilvl="4">
      <w:start w:val="1"/>
      <w:numFmt w:val="decimal"/>
      <w:lvlText w:val="(%5)"/>
      <w:lvlJc w:val="left"/>
      <w:pPr>
        <w:ind w:left="2880" w:firstLine="0"/>
      </w:pPr>
      <w:rPr>
        <w:vertAlign w:val="baseline"/>
      </w:rPr>
    </w:lvl>
    <w:lvl w:ilvl="5">
      <w:start w:val="1"/>
      <w:numFmt w:val="lowerLetter"/>
      <w:lvlText w:val="(%6)"/>
      <w:lvlJc w:val="left"/>
      <w:pPr>
        <w:ind w:left="3600" w:firstLine="0"/>
      </w:pPr>
      <w:rPr>
        <w:vertAlign w:val="baseline"/>
      </w:rPr>
    </w:lvl>
    <w:lvl w:ilvl="6">
      <w:start w:val="1"/>
      <w:numFmt w:val="lowerRoman"/>
      <w:lvlText w:val="(%7)"/>
      <w:lvlJc w:val="left"/>
      <w:pPr>
        <w:ind w:left="4320" w:firstLine="0"/>
      </w:pPr>
      <w:rPr>
        <w:vertAlign w:val="baseline"/>
      </w:rPr>
    </w:lvl>
    <w:lvl w:ilvl="7">
      <w:start w:val="1"/>
      <w:numFmt w:val="lowerLetter"/>
      <w:lvlText w:val="(%8)"/>
      <w:lvlJc w:val="left"/>
      <w:pPr>
        <w:ind w:left="5040" w:firstLine="0"/>
      </w:pPr>
      <w:rPr>
        <w:vertAlign w:val="baseline"/>
      </w:rPr>
    </w:lvl>
    <w:lvl w:ilvl="8">
      <w:start w:val="1"/>
      <w:numFmt w:val="lowerRoman"/>
      <w:lvlText w:val="(%9)"/>
      <w:lvlJc w:val="left"/>
      <w:pPr>
        <w:ind w:left="576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prensa.com/tecnologia/TECNOLOGIA-ABUELO-EDUCACION-INFORMATICA-SOCIEDAD-FAMILIA_0_4318818254.html" TargetMode="External"/><Relationship Id="rId9" Type="http://schemas.openxmlformats.org/officeDocument/2006/relationships/hyperlink" Target="https://www.vanguardia.com/entretenimiento/galeria/ensenar-tecnologia-a-la-tercera-edad-AFVL374455"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