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Neural Network Data Types</w:t>
      </w:r>
    </w:p>
    <w:p>
      <w:pPr>
        <w:spacing w:after="400"/>
        <w:jc w:val="center"/>
      </w:pPr>
      <w:r>
        <w:rPr>
          <w:rFonts w:ascii="Arial" w:cs="Arial" w:eastAsia="Arial" w:hAnsi="Arial"/>
          <w:color w:val="555555"/>
          <w:sz w:val="28"/>
          <w:szCs w:val="28"/>
        </w:rPr>
        <w:t xml:space="preserve">A Comparative Analysis for Hardware Implementation</w:t>
      </w:r>
    </w:p>
    <w:p>
      <w:pPr>
        <w:spacing w:after="100"/>
        <w:jc w:val="center"/>
      </w:pPr>
      <w:r>
        <w:rPr>
          <w:rFonts w:ascii="Arial" w:cs="Arial" w:eastAsia="Arial" w:hAnsi="Arial"/>
          <w:color w:val="777777"/>
          <w:sz w:val="22"/>
          <w:szCs w:val="22"/>
        </w:rPr>
        <w:t xml:space="preserve">Covering FP32, FP16, BF16, TF32, FP8 (E4M3/E5M2), and INT8</w:t>
      </w:r>
    </w:p>
    <w:p>
      <w:pPr>
        <w:pBdr>
          <w:top w:val="single" w:color="1B3A5C" w:sz="6" w:space="8"/>
        </w:pBdr>
        <w:spacing w:before="800"/>
        <w:jc w:val="center"/>
      </w:pPr>
      <w:r>
        <w:rPr>
          <w:rFonts w:ascii="Arial" w:cs="Arial" w:eastAsia="Arial" w:hAnsi="Arial"/>
          <w:i/>
          <w:iCs/>
          <w:color w:val="555555"/>
          <w:sz w:val="22"/>
          <w:szCs w:val="22"/>
        </w:rPr>
        <w:t xml:space="preserve">With SystemVerilog Reference Implementations</w:t>
      </w:r>
    </w:p>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200"/>
      </w:pPr>
      <w:r>
        <w:t xml:space="preserve">Modern neural network accelerators employ a diverse ecosystem of numerical formats, each balancing three competing demands: dynamic range, precision, and computational throughput. This report analyses the seven most important formats in production ML hardware and provides SystemVerilog reference implementations demonstrating their arithmetic behaviour.</w:t>
      </w:r>
    </w:p>
    <w:p>
      <w:pPr>
        <w:spacing w:after="200"/>
      </w:pPr>
      <w:r>
        <w:t xml:space="preserve">The central insight driving this evolution is that neural networks are remarkably tolerant of reduced numerical precision. Training can succeed with 16-bit or even 8-bit arithmetic for most operations, provided that a few critical accumulations (such as loss computation and weight updates) retain higher precision. This observation has driven a rapid proliferation of specialised formats, each targeting a specific stage of the training or inference pipeline.</w:t>
      </w:r>
    </w:p>
    <w:p>
      <w:pPr>
        <w:pStyle w:val="Heading1"/>
      </w:pPr>
      <w:r>
        <w:t xml:space="preserve">2. Format Overview</w:t>
      </w:r>
    </w:p>
    <w:p>
      <w:pPr>
        <w:pStyle w:val="Heading2"/>
      </w:pPr>
      <w:r>
        <w:t xml:space="preserve">2.1 FP32 (IEEE 754 Single Precision)</w:t>
      </w:r>
    </w:p>
    <w:p>
      <w:pPr>
        <w:spacing w:after="120"/>
      </w:pPr>
      <w:r>
        <w:t xml:space="preserve">FP32 uses a 1-bit sign, 8-bit exponent (bias 127), and 23-bit mantissa, giving approximately 7.2 decimal digits of precision and a dynamic range of roughly ±3.4×10³⁸. It remains the "gold standard" for numerical accuracy and serves as the reference format against which all reduced-precision types are evaluated. In mixed-precision training, FP32 is used for the master copy of weights and the loss accumulator, while cheaper formats handle forward and backward passes.</w:t>
      </w:r>
    </w:p>
    <w:p>
      <w:pPr>
        <w:pStyle w:val="Heading2"/>
      </w:pPr>
      <w:r>
        <w:t xml:space="preserve">2.2 FP16 (IEEE 754 Half Precision)</w:t>
      </w:r>
    </w:p>
    <w:p>
      <w:pPr>
        <w:spacing w:after="120"/>
      </w:pPr>
      <w:r>
        <w:t xml:space="preserve">FP16 uses 1/5/10 (sign/exponent/mantissa) bits, providing about 3.3 decimal digits of precision but a limited dynamic range of ±65,504. This restricted range makes FP16 susceptible to overflow during training, which is why loss scaling was invented — gradients are scaled up before the backward pass and scaled down before the weight update. FP16 dominated early mixed-precision training (NVIDIA Pascal/Volta era) but has been largely superseded by BF16 for training workloads due to BF16's superior dynamic range.</w:t>
      </w:r>
    </w:p>
    <w:p>
      <w:pPr>
        <w:pStyle w:val="Heading2"/>
      </w:pPr>
      <w:r>
        <w:t xml:space="preserve">2.3 BF16 (Brain Floating Point)</w:t>
      </w:r>
    </w:p>
    <w:p>
      <w:pPr>
        <w:spacing w:after="120"/>
      </w:pPr>
      <w:r>
        <w:t xml:space="preserve">BF16 was developed by Google Brain specifically for deep learning. Its 1/8/7 layout preserves the full FP32 exponent range (bias 127, range ±3.4×10³⁸) at the cost of mantissa precision (only ~2 decimal digits). The key advantage is that FP32↔BF16 conversion is a trivial truncation of the lower 16 bits — no exponent rebiasing is required. This makes BF16 the dominant training format on TPUs and recent NVIDIA/AMD GPUs. The reduced precision is acceptable because gradient noise during stochastic training typically exceeds the quantisation noise introduced by BF16.</w:t>
      </w:r>
    </w:p>
    <w:p>
      <w:pPr>
        <w:pStyle w:val="Heading2"/>
      </w:pPr>
      <w:r>
        <w:t xml:space="preserve">2.4 TF32 (TensorFloat-32)</w:t>
      </w:r>
    </w:p>
    <w:p>
      <w:pPr>
        <w:spacing w:after="120"/>
      </w:pPr>
      <w:r>
        <w:t xml:space="preserve">TF32 is a 19-bit NVIDIA-proprietary format (1/8/10) used internally by the A100 and later tensor cores. It combines FP32's exponent range with FP16's mantissa precision. Crucially, TF32 is not a storage format — data is stored as FP32 and silently truncated to TF32 precision when entering the tensor core multiply unit. The accumulation is performed in FP32. This provides a seamless 8× throughput improvement over FP32 matmul with no code changes, at the cost of approximately one decimal digit of precision in the multiply step.</w:t>
      </w:r>
    </w:p>
    <w:p>
      <w:pPr>
        <w:pStyle w:val="Heading2"/>
      </w:pPr>
      <w:r>
        <w:t xml:space="preserve">2.5 FP8 (E4M3 and E5M2)</w:t>
      </w:r>
    </w:p>
    <w:p>
      <w:pPr>
        <w:spacing w:after="120"/>
      </w:pPr>
      <w:r>
        <w:t xml:space="preserve">FP8 comes in two variants defined by the OCP (Open Compute Project) specification, adopted by NVIDIA (H100) and AMD (MI300). E4M3 (1/4/3) provides higher precision (~1 decimal digit) but limited range (max 448), making it ideal for weights and activations whose distributions are typically well-bounded. E5M2 (1/5/2) trades precision for range (max ~57,344), making it suitable for gradients which can have large dynamic range. Notably, E4M3 has no infinity representation — all exponent-all-ones patterns encode finite values (max normal = 448). E5M2 follows standard IEEE 754 conventions with inf and NaN.</w:t>
      </w:r>
    </w:p>
    <w:p>
      <w:pPr>
        <w:pStyle w:val="Heading2"/>
      </w:pPr>
      <w:r>
        <w:t xml:space="preserve">2.7 FP4 E2M1 (OCP Microscaling MXFP4)</w:t>
      </w:r>
    </w:p>
    <w:p>
      <w:pPr>
        <w:spacing w:after="120"/>
      </w:pPr>
      <w:r>
        <w:t xml:space="preserve">FP4 E2M1 is the most extreme floating-point format in production use, defined by the OCP Microscaling (MX) specification and supported natively on NVIDIA Blackwell (B200) and AMD CDNA4. With only 4 bits (1 sign, 2 exponent, 1 mantissa), each element can represent just 16 distinct values: {0, ±0.5, ±1.0, ±1.5, ±2.0, ±3.0, ±4.0, ±6.0}. There is no representation for infinity or NaN. To compensate for this extremely limited per-element dynamic range, MXFP4 employs microscaling: blocks of 32 elements share an 8-bit exponent (E8M0 format), which shifts the effective range of the entire block. The block exponent represents a power of two, so dequantisation is a simple bit-shift rather than a multiply. NVIDIA's variant, NVFP4, refines this with 16-element blocks and an E4M3 block scale (instead of E8M0), plus a second per-tensor FP32 scale for a two-level scaling hierarchy that reduces quantisation artifacts.</w:t>
      </w:r>
    </w:p>
    <w:p>
      <w:pPr>
        <w:pStyle w:val="Heading2"/>
      </w:pPr>
      <w:r>
        <w:t xml:space="preserve">2.8 NF4 (NormalFloat4, QLoRA)</w:t>
      </w:r>
    </w:p>
    <w:p>
      <w:pPr>
        <w:spacing w:after="120"/>
      </w:pPr>
      <w:r>
        <w:t xml:space="preserve">NF4 (NormalFloat4) is a software-defined 4-bit format introduced by Dettmers et al. in the QLoRA paper. Unlike E2M1, NF4 is not a conventional floating-point encoding — it uses a 4-bit index into a 16-entry lookup table whose values are the quantiles of the standard normal distribution N(0,1). This design is information-theoretically optimal for normally-distributed data, which is an excellent approximation for pre-trained neural network weights. The 16 NF4 code points are asymmetrically distributed: denser near zero (where most weights cluster) and sparser at the extremes. Block-wise quantisation divides the weight tensor into blocks of 64 elements; each block stores a single FP32 absmax scale factor, and each element stores a 4-bit NF4 index. Dequantisation is value = LUT[index] × absmax. QLoRA further applies "double quantisation" — the FP32 block scales are themselves quantised to FP8, reducing overhead from 0.5 bits per weight to ~0.13 bits per weight. All computation happens in BF16/FP16 after dequantisation; NF4 is purely a storage format.</w:t>
      </w:r>
    </w:p>
    <w:p>
      <w:pPr>
        <w:pStyle w:val="Heading2"/>
      </w:pPr>
      <w:r>
        <w:t xml:space="preserve">2.9 INT8 (Signed 8-bit Integer)</w:t>
      </w:r>
    </w:p>
    <w:p>
      <w:pPr>
        <w:spacing w:after="120"/>
      </w:pPr>
      <w:r>
        <w:t xml:space="preserve">INT8 quantisation represents neural network values as signed 8-bit integers with an associated scale factor and zero point: x_real = (x_int8 − zero_point) × scale. The key advantage is that integer multiply-accumulate (MAC) units are far simpler and more power-efficient than floating-point units. INT8 inference can achieve 2–4× the throughput of FP16 on the same silicon. The challenge lies in calibration: finding optimal scale and zero-point values that minimise quantisation error for a given layer's activation distribution. Post-training quantisation (PTQ) and quantisation-aware training (QAT) are the two main approaches.</w:t>
      </w:r>
    </w:p>
    <w:p>
      <w:pPr>
        <w:pStyle w:val="Heading1"/>
      </w:pPr>
      <w:r>
        <w:t xml:space="preserve">3. Comparative Summary</w:t>
      </w:r>
    </w:p>
    <w:p>
      <w:pPr>
        <w:spacing w:after="200"/>
      </w:pPr>
      <w:r>
        <w:t xml:space="preserve">The following table summarises the key characteristics of each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100"/>
        <w:gridCol w:w="1100"/>
        <w:gridCol w:w="1100"/>
        <w:gridCol w:w="1100"/>
        <w:gridCol w:w="1660"/>
      </w:tblGrid>
      <w:tr>
        <w:tc>
          <w:tcPr>
            <w:tcW w:type="dxa" w:w="1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Format</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Bits</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Layout</w:t>
            </w:r>
          </w:p>
        </w:tc>
        <w:tc>
          <w:tcPr>
            <w:tcW w:type="dxa" w:w="11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 Bias</w:t>
            </w:r>
          </w:p>
        </w:tc>
        <w:tc>
          <w:tcPr>
            <w:tcW w:type="dxa" w:w="11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Range (approx)</w:t>
            </w:r>
          </w:p>
        </w:tc>
        <w:tc>
          <w:tcPr>
            <w:tcW w:type="dxa" w:w="11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Precision</w:t>
            </w:r>
          </w:p>
        </w:tc>
        <w:tc>
          <w:tcPr>
            <w:tcW w:type="dxa" w:w="11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 Case</w:t>
            </w:r>
          </w:p>
        </w:tc>
        <w:tc>
          <w:tcPr>
            <w:tcW w:type="dxa" w:w="16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Hardware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FP32</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32</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1/8/23</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±3.4×10³⁸</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~7.2 digits</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Master weights, loss</w:t>
            </w:r>
          </w:p>
        </w:tc>
        <w:tc>
          <w:tcPr>
            <w:tcW w:type="dxa" w:w="1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GPUs/CPUs</w:t>
            </w:r>
          </w:p>
        </w:tc>
      </w:tr>
      <w:tr>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FP16</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1/5/10</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±65504</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~3.3 digits</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Mixed-precision fwd</w:t>
            </w:r>
          </w:p>
        </w:tc>
        <w:tc>
          <w:tcPr>
            <w:tcW w:type="dxa" w:w="16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All modern GPUs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BF16</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±3.4×10³⁸</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 digits</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Training (Google TPU)</w:t>
            </w:r>
          </w:p>
        </w:tc>
        <w:tc>
          <w:tcPr>
            <w:tcW w:type="dxa" w:w="1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TPU, A100+, MI200+</w:t>
            </w:r>
          </w:p>
        </w:tc>
      </w:tr>
      <w:tr>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TF32</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1/8/10</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±3.4×10³⁸</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~3.3 digits</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Tensor core matmul</w:t>
            </w:r>
          </w:p>
        </w:tc>
        <w:tc>
          <w:tcPr>
            <w:tcW w:type="dxa" w:w="16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NVIDIA A100+</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FP8 E4M3</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1/4/3</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±448</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 digit</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Inference weights</w:t>
            </w:r>
          </w:p>
        </w:tc>
        <w:tc>
          <w:tcPr>
            <w:tcW w:type="dxa" w:w="1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H100, MI300</w:t>
            </w:r>
          </w:p>
        </w:tc>
      </w:tr>
      <w:tr>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FP8 E5M2</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1/5/2</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±57344</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~0.6 digits</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Training gradients</w:t>
            </w:r>
          </w:p>
        </w:tc>
        <w:tc>
          <w:tcPr>
            <w:tcW w:type="dxa" w:w="16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H100, MI300</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FP4 E2M1</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1/2/1</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±6.0</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 values/sign</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MXFP4 inference</w:t>
            </w:r>
          </w:p>
        </w:tc>
        <w:tc>
          <w:tcPr>
            <w:tcW w:type="dxa" w:w="1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Blackwell, CDNA4</w:t>
            </w:r>
          </w:p>
        </w:tc>
      </w:tr>
      <w:tr>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NF4</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LUT(16)</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±absmax</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16 levels</w:t>
            </w:r>
          </w:p>
        </w:tc>
        <w:tc>
          <w:tcPr>
            <w:tcW w:type="dxa" w:w="11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QLoRA weight storage</w:t>
            </w:r>
          </w:p>
        </w:tc>
        <w:tc>
          <w:tcPr>
            <w:tcW w:type="dxa" w:w="16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Software (GPU dequant)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INT8</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signed</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-128 to +127</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integer</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Quantised inference</w:t>
            </w:r>
          </w:p>
        </w:tc>
        <w:tc>
          <w:tcPr>
            <w:tcW w:type="dxa" w:w="1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(via INT units)</w:t>
            </w:r>
          </w:p>
        </w:tc>
      </w:tr>
    </w:tbl>
    <w:p>
      <w:r>
        <w:br w:type="page"/>
      </w:r>
    </w:p>
    <w:p>
      <w:pPr>
        <w:pStyle w:val="Heading1"/>
      </w:pPr>
      <w:r>
        <w:t xml:space="preserve">4. Hardware Throughput Comparison</w:t>
      </w:r>
    </w:p>
    <w:p>
      <w:pPr>
        <w:spacing w:after="200"/>
      </w:pPr>
      <w:r>
        <w:t xml:space="preserve">Approximate peak throughput figures for key accelerators (tensor/matrix operations). Asterisked (*) values use tensor cores and represent matrix-multiply throughput, not scalar. Actual sustained performance depends on memory bandwidth and 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Operation</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FP32</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FP16</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BF16</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TF32</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FP8</w:t>
            </w:r>
          </w:p>
        </w:tc>
        <w:tc>
          <w:tcPr>
            <w:tcW w:type="dxa" w:w="1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INT8</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NVIDIA A100 (TFLOPS)</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19.5</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78</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312*</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156</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624*</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NVIDIA H100 (TFLOPS)</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67</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134</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989*</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494*</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1979*</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1979*</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NVIDIA B200 (TFLOPS)</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~90</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~180</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~2250*</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~1125*</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4500*</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4500*</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Google TPU v5e</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~92</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~197</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N/A</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~394</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bCs/>
                <w:sz w:val="18"/>
                <w:szCs w:val="18"/>
              </w:rPr>
              <w:t xml:space="preserve">Relative memory (1×=FP32)</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0.25×</w:t>
            </w:r>
          </w:p>
        </w:tc>
        <w:tc>
          <w:tcPr>
            <w:tcW w:type="dxa" w:w="12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0.25×</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FP4 relative memory</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0.125×</w:t>
            </w:r>
          </w:p>
        </w:tc>
        <w:tc>
          <w:tcPr>
            <w:tcW w:type="dxa" w:w="1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0.125×</w:t>
            </w:r>
          </w:p>
        </w:tc>
      </w:tr>
    </w:tbl>
    <w:p>
      <w:pPr>
        <w:pStyle w:val="Heading1"/>
      </w:pPr>
      <w:r>
        <w:t xml:space="preserve">5. Precision and Quantisation Error Analysis</w:t>
      </w:r>
    </w:p>
    <w:p>
      <w:pPr>
        <w:spacing w:after="160"/>
      </w:pPr>
      <w:r>
        <w:t xml:space="preserve">The fundamental trade-off in reduced-precision formats is between storage/compute savings and the introduction of quantisation noise. For floating-point formats, the relative error is bounded by the number of mantissa bits: ε_rel ≤ 2^(−m) where m is the number of mantissa bits (excluding the implicit leading 1). For INT8, the absolute error is bounded by scale/2.</w:t>
      </w:r>
    </w:p>
    <w:p>
      <w:pPr>
        <w:pStyle w:val="Heading3"/>
      </w:pPr>
      <w:r>
        <w:t xml:space="preserve">5.1 Mantissa Bits vs. Relative Error</w:t>
      </w:r>
    </w:p>
    <w:p>
      <w:pPr>
        <w:spacing w:after="120"/>
      </w:pPr>
      <w:r>
        <w:t xml:space="preserve">FP32 (23 mantissa bits): ε_rel ≈ 1.19 × 10⁻⁷ (machine epsilon). FP16 and TF32 (10 mantissa bits): ε_rel ≈ 9.77 × 10⁻⁴. BF16 (7 mantissa bits): ε_rel ≈ 7.81 × 10⁻³. FP8 E4M3 (3 mantissa bits): ε_rel ≈ 6.25 × 10⁻². FP8 E5M2 (2 mantissa bits): ε_rel ≈ 1.25 × 10⁻¹. This progression illustrates why mixed-precision strategies accumulate in higher precision — the quantisation error from a single BF16 multiply is tolerable, but chained operations can compound errors beyond acceptable levels.</w:t>
      </w:r>
    </w:p>
    <w:p>
      <w:pPr>
        <w:pStyle w:val="Heading3"/>
      </w:pPr>
      <w:r>
        <w:t xml:space="preserve">5.2 Dynamic Range Considerations</w:t>
      </w:r>
    </w:p>
    <w:p>
      <w:pPr>
        <w:spacing w:after="120"/>
      </w:pPr>
      <w:r>
        <w:t xml:space="preserve">BF16 and TF32 share FP32's 8-bit exponent, covering ±3.4×10³⁸. This eliminates the overflow issues that plagued FP16 training and removes the need for loss scaling. FP8 E5M2's 5-bit exponent covers ±57,344, which is adequate for most gradient distributions but can still overflow in pathological cases. FP8 E4M3's 4-bit exponent only covers ±448, requiring careful activation clamping or per-tensor scaling during inference.</w:t>
      </w:r>
    </w:p>
    <w:p>
      <w:pPr>
        <w:pStyle w:val="Heading3"/>
      </w:pPr>
      <w:r>
        <w:t xml:space="preserve">5.3 FP4 Quantisation Characteristics</w:t>
      </w:r>
    </w:p>
    <w:p>
      <w:pPr>
        <w:spacing w:after="120"/>
      </w:pPr>
      <w:r>
        <w:t xml:space="preserve">FP4 E2M1 has only 1 mantissa bit, giving a relative error of ε_rel = 2⁻¹ = 0.5 (50%) per element — essentially unusable without block scaling. With MXFP4's E8M0 shared exponent, the effective precision improves dramatically because the block scale absorbs the magnitude, and the E2M1 elements only need to capture the local variation within the block. The amortised overhead is 8 bits per 32 elements = 0.25 bits per element, for an effective rate of 4.25 bits per element. NF4 uses a fundamentally different approach: its 16 quantile-based values are non-uniformly spaced, providing approximately 3.5% relative error near zero (where most weights reside) but up to 25% at the tails. With block size 64 and FP32 scale, the amortised rate is 4.5 bits per element (or ~4.13 with double quantisation). Empirical studies show NF4 achieves lower mean-squared quantisation error than E2M1 for weight-only quantisation, while E2M1's hardware support makes it faster for inference on Blackwell-class hardware.</w:t>
      </w:r>
    </w:p>
    <w:p>
      <w:pPr>
        <w:pStyle w:val="Heading3"/>
      </w:pPr>
      <w:r>
        <w:t xml:space="preserve">5.4 INT8 Quantisation Error</w:t>
      </w:r>
    </w:p>
    <w:p>
      <w:pPr>
        <w:spacing w:after="120"/>
      </w:pPr>
      <w:r>
        <w:t xml:space="preserve">INT8 quantisation error depends entirely on the chosen scale factor. For a tensor with range [min, max], the scale is (max − min) / 255 and the maximum absolute error is scale / 2. Outlier values in the activation distribution can inflate the scale and waste most of the 256 quantisation levels on a sparse region, degrading accuracy for the majority of values. Techniques like per-channel quantisation, outlier-aware quantisation (e.g., SmoothQuant), and mixed INT8/INT4 approaches address this challenge.</w:t>
      </w:r>
    </w:p>
    <w:p>
      <w:r>
        <w:br w:type="page"/>
      </w:r>
    </w:p>
    <w:p>
      <w:pPr>
        <w:pStyle w:val="Heading1"/>
      </w:pPr>
      <w:r>
        <w:t xml:space="preserve">6. SystemVerilog Implementation Notes</w:t>
      </w:r>
    </w:p>
    <w:p>
      <w:pPr>
        <w:spacing w:after="160"/>
      </w:pPr>
      <w:r>
        <w:t xml:space="preserve">The accompanying SystemVerilog files demonstrate the arithmetic behaviour of each format. Key architectural observations:</w:t>
      </w:r>
    </w:p>
    <w:p>
      <w:pPr>
        <w:pStyle w:val="ListParagraph"/>
        <w:numPr>
          <w:ilvl w:val="0"/>
          <w:numId w:val="2"/>
        </w:numPr>
        <w:spacing w:after="80"/>
      </w:pPr>
      <w:r>
        <w:rPr>
          <w:b/>
          <w:bCs/>
        </w:rPr>
        <w:t xml:space="preserve">nn_dtypes_pkg.sv</w:t>
      </w:r>
      <w:r>
        <w:t xml:space="preserve"> defines packed structs for all seven formats, conversion functions, and display helpers. The packed struct approach maps directly to how these formats are represented in hardware register files.</w:t>
      </w:r>
    </w:p>
    <w:p>
      <w:pPr>
        <w:pStyle w:val="ListParagraph"/>
        <w:numPr>
          <w:ilvl w:val="0"/>
          <w:numId w:val="2"/>
        </w:numPr>
        <w:spacing w:after="80"/>
      </w:pPr>
      <w:r>
        <w:rPr>
          <w:b/>
          <w:bCs/>
        </w:rPr>
        <w:t xml:space="preserve">fp32_arith.sv</w:t>
      </w:r>
      <w:r>
        <w:t xml:space="preserve"> implements a simple FSM-based FP32 adder and multiplier with explicit unpack → compute → normalise → pack stages. This mirrors the pipeline stages in a real floating-point unit.</w:t>
      </w:r>
    </w:p>
    <w:p>
      <w:pPr>
        <w:pStyle w:val="ListParagraph"/>
        <w:numPr>
          <w:ilvl w:val="0"/>
          <w:numId w:val="2"/>
        </w:numPr>
        <w:spacing w:after="80"/>
      </w:pPr>
      <w:r>
        <w:rPr>
          <w:b/>
          <w:bCs/>
        </w:rPr>
        <w:t xml:space="preserve">bf16_arith.sv</w:t>
      </w:r>
      <w:r>
        <w:t xml:space="preserve"> demonstrates the mixed-precision pattern central to modern ML training: BF16 inputs are upcast to FP32 for computation, accumulated in FP32, and truncated back to BF16 for storage. The upcast is a zero-extension; the downcast is a truncation.</w:t>
      </w:r>
    </w:p>
    <w:p>
      <w:pPr>
        <w:pStyle w:val="ListParagraph"/>
        <w:numPr>
          <w:ilvl w:val="0"/>
          <w:numId w:val="2"/>
        </w:numPr>
        <w:spacing w:after="80"/>
      </w:pPr>
      <w:r>
        <w:rPr>
          <w:b/>
          <w:bCs/>
        </w:rPr>
        <w:t xml:space="preserve">fp8_arith.sv</w:t>
      </w:r>
      <w:r>
        <w:t xml:space="preserve"> shows how FP8 E4M3 (weights) and E5M2 (activations) are combined in a multiply-accumulate operation. The 4-element dot product demonstrates the fundamental tensor-core operation found in H100 FP8 mode.</w:t>
      </w:r>
    </w:p>
    <w:p>
      <w:pPr>
        <w:pStyle w:val="ListParagraph"/>
        <w:numPr>
          <w:ilvl w:val="0"/>
          <w:numId w:val="2"/>
        </w:numPr>
        <w:spacing w:after="80"/>
      </w:pPr>
      <w:r>
        <w:rPr>
          <w:b/>
          <w:bCs/>
        </w:rPr>
        <w:t xml:space="preserve">int8_arith.sv</w:t>
      </w:r>
      <w:r>
        <w:t xml:space="preserve"> implements INT8 quantised inference arithmetic including 4-wide vector MAC with INT32 accumulation, ReLU activation, and the requantisation step that converts INT32 accumulators back to INT8 between layers.</w:t>
      </w:r>
    </w:p>
    <w:p>
      <w:pPr>
        <w:pStyle w:val="ListParagraph"/>
        <w:numPr>
          <w:ilvl w:val="0"/>
          <w:numId w:val="2"/>
        </w:numPr>
        <w:spacing w:after="80"/>
      </w:pPr>
      <w:r>
        <w:rPr>
          <w:b/>
          <w:bCs/>
        </w:rPr>
        <w:t xml:space="preserve">fp4_arith.sv</w:t>
      </w:r>
      <w:r>
        <w:t xml:space="preserve"> demonstrates both FP4 E2M1 (MXFP4) and NF4 (QLoRA) arithmetic. E2M1 operations include MX block scaling via the E8M0 shared exponent — each element is multiplied by 2^(block_exp−127). NF4 operations show the dequant→compute→requant flow using the 16-entry quantile lookup table. The testbench enumerates all 16 encodings of each format and provides a side-by-side quantisation error comparison.</w:t>
      </w:r>
    </w:p>
    <w:p>
      <w:pPr>
        <w:pStyle w:val="ListParagraph"/>
        <w:numPr>
          <w:ilvl w:val="0"/>
          <w:numId w:val="2"/>
        </w:numPr>
        <w:spacing w:after="80"/>
      </w:pPr>
      <w:r>
        <w:rPr>
          <w:b/>
          <w:bCs/>
        </w:rPr>
        <w:t xml:space="preserve">type_convert.sv</w:t>
      </w:r>
      <w:r>
        <w:t xml:space="preserve"> provides a broadcast conversion unit (FP32 → all formats simultaneously), normalisation (simulating LayerNorm's scale+bias step), and a complete INT8 quantise/dequantise round-trip for measuring quantisation error.</w:t>
      </w:r>
    </w:p>
    <w:p>
      <w:pPr>
        <w:pStyle w:val="Heading1"/>
      </w:pPr>
      <w:r>
        <w:t xml:space="preserve">7. Format Selection Guidelines</w:t>
      </w:r>
    </w:p>
    <w:p>
      <w:pPr>
        <w:pStyle w:val="Heading3"/>
      </w:pPr>
      <w:r>
        <w:t xml:space="preserve">Training</w:t>
      </w:r>
    </w:p>
    <w:p>
      <w:pPr>
        <w:spacing w:after="120"/>
      </w:pPr>
      <w:r>
        <w:t xml:space="preserve">The recommended approach for training is mixed-precision BF16 with FP32 master weights. Forward and backward passes use BF16 arithmetic (with FP32 accumulation in tensor cores), while the optimiser maintains FP32 copies of weights and momentum buffers. This achieves near-FP32 accuracy with approximately 2× throughput improvement and 50% memory reduction for activations. FP8 training (E4M3 for forward, E5M2 for gradients) is emerging on H100-class hardware and can provide an additional 2× throughput gain, but requires per-tensor scaling and is not yet universally reliable across all model architectures.</w:t>
      </w:r>
    </w:p>
    <w:p>
      <w:pPr>
        <w:pStyle w:val="Heading3"/>
      </w:pPr>
      <w:r>
        <w:t xml:space="preserve">Inference</w:t>
      </w:r>
    </w:p>
    <w:p>
      <w:pPr>
        <w:spacing w:after="120"/>
      </w:pPr>
      <w:r>
        <w:t xml:space="preserve">For inference, INT8 quantisation offers the best throughput-per-watt on most hardware and is the default choice for deployment. When INT8 accuracy is insufficient (typically for models with outlier activations), FP8 E4M3 provides a good middle ground with less calibration complexity. FP16 remains a safe fallback when quantisation-induced accuracy loss is unacceptable. BF16 inference is preferred over FP16 on hardware that supports it (TPUs, A100+) due to the broader dynamic range.</w:t>
      </w:r>
    </w:p>
    <w:p>
      <w:pPr>
        <w:pStyle w:val="Heading3"/>
      </w:pPr>
      <w:r>
        <w:t xml:space="preserve">Research and Prototyping</w:t>
      </w:r>
    </w:p>
    <w:p>
      <w:pPr>
        <w:spacing w:after="120"/>
      </w:pPr>
      <w:r>
        <w:t xml:space="preserve">FP32 remains appropriate for numerical debugging, algorithm development, and cases where reproducibility is critical. TF32 is effectively "free" on A100+ hardware — it provides FP32-level dynamic range with modest precision reduction and requires no code changes from an FP32 baseline.</w:t>
      </w:r>
    </w:p>
    <w:p>
      <w:pPr>
        <w:pStyle w:val="Heading1"/>
      </w:pPr>
      <w:r>
        <w:t xml:space="preserve">8. Conclusion</w:t>
      </w:r>
    </w:p>
    <w:p>
      <w:pPr>
        <w:spacing w:after="200"/>
      </w:pPr>
      <w:r>
        <w:t xml:space="preserve">The evolution of numerical formats for neural networks reflects a broader hardware-software co-design trend: as our understanding of the precision requirements of deep learning has matured, specialised formats have been developed to exploit the inherent noise tolerance of stochastic gradient-based optimisation. The progression from FP32 → FP16 → BF16 → FP8 → FP4/INT8/INT4 represents a 4–32× improvement in compute density and memory efficiency, enabling the training and deployment of models that would otherwise be impractical. The most recent addition, FP4 (both the hardware-native E2M1 in MXFP4 and the software-defined NF4 in QLoRA), pushes quantisation to its practical limit — with only 16 representable values per element, these formats rely heavily on block-wise scaling to maintain acceptable accuracy. The SystemVerilog implementations provided with this report demonstrate the concrete bit-level mechanics of all nine formats and the mixed-precision patterns that underpin modern ML hardware.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Neural Network Data Types — Comparative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2026-02-22T12:32:36.757Z</dcterms:created>
  <dcterms:modified xsi:type="dcterms:W3CDTF">2026-02-22T12:32:36.758Z</dcterms:modified>
</cp:coreProperties>
</file>

<file path=docProps/custom.xml><?xml version="1.0" encoding="utf-8"?>
<Properties xmlns="http://schemas.openxmlformats.org/officeDocument/2006/custom-properties" xmlns:vt="http://schemas.openxmlformats.org/officeDocument/2006/docPropsVTypes"/>
</file>