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Brendan Meyler</w:t>
      </w:r>
    </w:p>
    <w:p/>
    <w:p>
      <w:pPr>
        <w:pStyle w:val="Heading2"/>
      </w:pPr>
      <w:r>
        <w:t>Professional Summary</w:t>
      </w:r>
    </w:p>
    <w:p/>
    <w:p>
      <w:r>
        <w:t>Data-driven analyst with 1+ years of professional experience in financial data transformation, automation, and analytics. M.S. Data Science candidate with demonstrated expertise in Python, R, SQL, and business intelligence tools. Proven track record delivering automated solutions and actionable insights to cross-functional stakeholders in fast-paced, data-intensive environments.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