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3E074" w14:textId="77777777" w:rsidR="00280471" w:rsidRDefault="00280471" w:rsidP="00A47480">
      <w:pPr>
        <w:jc w:val="center"/>
        <w:rPr>
          <w:rFonts w:ascii="Times New Roman" w:hAnsi="Times New Roman" w:cs="Times New Roman"/>
          <w:sz w:val="40"/>
          <w:szCs w:val="40"/>
        </w:rPr>
      </w:pPr>
    </w:p>
    <w:p w14:paraId="0B510EC9" w14:textId="77777777" w:rsidR="00280471" w:rsidRDefault="00280471" w:rsidP="00A47480">
      <w:pPr>
        <w:jc w:val="center"/>
        <w:rPr>
          <w:rFonts w:ascii="Times New Roman" w:hAnsi="Times New Roman" w:cs="Times New Roman"/>
          <w:sz w:val="40"/>
          <w:szCs w:val="40"/>
        </w:rPr>
      </w:pPr>
    </w:p>
    <w:p w14:paraId="6DAB8A9C" w14:textId="7F26B740" w:rsidR="00B6765E" w:rsidRDefault="00B6765E" w:rsidP="00A47480">
      <w:pPr>
        <w:jc w:val="center"/>
        <w:rPr>
          <w:rFonts w:ascii="Times New Roman" w:hAnsi="Times New Roman" w:cs="Times New Roman"/>
          <w:sz w:val="40"/>
          <w:szCs w:val="40"/>
        </w:rPr>
      </w:pPr>
      <w:r w:rsidRPr="00B6765E">
        <w:rPr>
          <w:rFonts w:ascii="Times New Roman" w:hAnsi="Times New Roman" w:cs="Times New Roman"/>
          <w:sz w:val="40"/>
          <w:szCs w:val="40"/>
        </w:rPr>
        <w:t>Attentional Over-weighting in Gains,</w:t>
      </w:r>
    </w:p>
    <w:p w14:paraId="3D937102" w14:textId="68F18485" w:rsidR="009A0D83" w:rsidRPr="00B6765E" w:rsidRDefault="00B6765E" w:rsidP="00A47480">
      <w:pPr>
        <w:jc w:val="center"/>
        <w:rPr>
          <w:rFonts w:ascii="Times New Roman" w:hAnsi="Times New Roman" w:cs="Times New Roman"/>
          <w:sz w:val="40"/>
          <w:szCs w:val="40"/>
        </w:rPr>
      </w:pPr>
      <w:r w:rsidRPr="00B6765E">
        <w:rPr>
          <w:rFonts w:ascii="Times New Roman" w:hAnsi="Times New Roman" w:cs="Times New Roman"/>
          <w:sz w:val="40"/>
          <w:szCs w:val="40"/>
        </w:rPr>
        <w:t>Attentional Under-weighting in Losses</w:t>
      </w:r>
    </w:p>
    <w:p w14:paraId="4B11610E" w14:textId="77777777" w:rsidR="00B6765E" w:rsidRDefault="00B6765E" w:rsidP="00A47480">
      <w:pPr>
        <w:jc w:val="center"/>
        <w:rPr>
          <w:rFonts w:ascii="Times New Roman" w:hAnsi="Times New Roman" w:cs="Times New Roman"/>
          <w:sz w:val="24"/>
          <w:szCs w:val="24"/>
        </w:rPr>
      </w:pPr>
    </w:p>
    <w:p w14:paraId="0033290E" w14:textId="77777777" w:rsidR="00280471" w:rsidRDefault="00280471" w:rsidP="00A47480">
      <w:pPr>
        <w:jc w:val="center"/>
        <w:rPr>
          <w:rFonts w:ascii="Times New Roman" w:hAnsi="Times New Roman" w:cs="Times New Roman"/>
          <w:sz w:val="24"/>
          <w:szCs w:val="24"/>
        </w:rPr>
      </w:pPr>
    </w:p>
    <w:p w14:paraId="264072BB" w14:textId="77777777" w:rsidR="00280471" w:rsidRDefault="00280471" w:rsidP="00A47480">
      <w:pPr>
        <w:jc w:val="center"/>
        <w:rPr>
          <w:rFonts w:ascii="Times New Roman" w:hAnsi="Times New Roman" w:cs="Times New Roman"/>
          <w:sz w:val="24"/>
          <w:szCs w:val="24"/>
        </w:rPr>
      </w:pPr>
    </w:p>
    <w:p w14:paraId="1C26BBA9" w14:textId="77777777" w:rsidR="00280471" w:rsidRDefault="00280471" w:rsidP="00A47480">
      <w:pPr>
        <w:jc w:val="center"/>
        <w:rPr>
          <w:rFonts w:ascii="Times New Roman" w:hAnsi="Times New Roman" w:cs="Times New Roman"/>
          <w:sz w:val="24"/>
          <w:szCs w:val="24"/>
        </w:rPr>
      </w:pPr>
    </w:p>
    <w:p w14:paraId="4BF1C716" w14:textId="6B99E8B6" w:rsidR="00B6765E" w:rsidRDefault="00B6765E" w:rsidP="00A47480">
      <w:pPr>
        <w:jc w:val="center"/>
        <w:rPr>
          <w:rFonts w:ascii="Times New Roman" w:hAnsi="Times New Roman" w:cs="Times New Roman"/>
          <w:sz w:val="24"/>
          <w:szCs w:val="24"/>
        </w:rPr>
      </w:pPr>
      <w:r>
        <w:rPr>
          <w:rFonts w:ascii="Times New Roman" w:hAnsi="Times New Roman" w:cs="Times New Roman"/>
          <w:sz w:val="24"/>
          <w:szCs w:val="24"/>
        </w:rPr>
        <w:t>Brenden Eum</w:t>
      </w:r>
    </w:p>
    <w:p w14:paraId="224CEA71" w14:textId="7142EFDF" w:rsidR="00B6765E" w:rsidRDefault="00B6765E" w:rsidP="00A47480">
      <w:pPr>
        <w:jc w:val="center"/>
        <w:rPr>
          <w:rFonts w:ascii="Times New Roman" w:hAnsi="Times New Roman" w:cs="Times New Roman"/>
          <w:sz w:val="24"/>
          <w:szCs w:val="24"/>
        </w:rPr>
      </w:pPr>
      <w:r>
        <w:rPr>
          <w:rFonts w:ascii="Times New Roman" w:hAnsi="Times New Roman" w:cs="Times New Roman"/>
          <w:sz w:val="24"/>
          <w:szCs w:val="24"/>
        </w:rPr>
        <w:t>California Institute of Technology, USA</w:t>
      </w:r>
    </w:p>
    <w:p w14:paraId="6F05BDEB" w14:textId="77777777" w:rsidR="00B6765E" w:rsidRDefault="00B6765E" w:rsidP="00A47480">
      <w:pPr>
        <w:jc w:val="center"/>
        <w:rPr>
          <w:rFonts w:ascii="Times New Roman" w:hAnsi="Times New Roman" w:cs="Times New Roman"/>
          <w:sz w:val="24"/>
          <w:szCs w:val="24"/>
        </w:rPr>
      </w:pPr>
    </w:p>
    <w:p w14:paraId="07059F0B" w14:textId="2DAC6FD3" w:rsidR="00B6765E" w:rsidRDefault="00B6765E" w:rsidP="00A47480">
      <w:pPr>
        <w:jc w:val="center"/>
        <w:rPr>
          <w:rFonts w:ascii="Times New Roman" w:hAnsi="Times New Roman" w:cs="Times New Roman"/>
          <w:sz w:val="24"/>
          <w:szCs w:val="24"/>
        </w:rPr>
      </w:pPr>
      <w:r>
        <w:rPr>
          <w:rFonts w:ascii="Times New Roman" w:hAnsi="Times New Roman" w:cs="Times New Roman"/>
          <w:sz w:val="24"/>
          <w:szCs w:val="24"/>
        </w:rPr>
        <w:t>Stephen Gonzalez</w:t>
      </w:r>
    </w:p>
    <w:p w14:paraId="0B1224A1" w14:textId="00307A28" w:rsidR="00B6765E" w:rsidRDefault="00B6765E" w:rsidP="00A47480">
      <w:pPr>
        <w:jc w:val="center"/>
        <w:rPr>
          <w:rFonts w:ascii="Times New Roman" w:hAnsi="Times New Roman" w:cs="Times New Roman"/>
          <w:sz w:val="24"/>
          <w:szCs w:val="24"/>
        </w:rPr>
      </w:pPr>
      <w:r>
        <w:rPr>
          <w:rFonts w:ascii="Times New Roman" w:hAnsi="Times New Roman" w:cs="Times New Roman"/>
          <w:sz w:val="24"/>
          <w:szCs w:val="24"/>
        </w:rPr>
        <w:t>Stanford University, USA</w:t>
      </w:r>
    </w:p>
    <w:p w14:paraId="0DE9C404" w14:textId="77777777" w:rsidR="00B6765E" w:rsidRDefault="00B6765E" w:rsidP="00A47480">
      <w:pPr>
        <w:jc w:val="center"/>
        <w:rPr>
          <w:rFonts w:ascii="Times New Roman" w:hAnsi="Times New Roman" w:cs="Times New Roman"/>
          <w:sz w:val="24"/>
          <w:szCs w:val="24"/>
        </w:rPr>
      </w:pPr>
    </w:p>
    <w:p w14:paraId="2CDB989C" w14:textId="3FE1A726" w:rsidR="00B6765E" w:rsidRDefault="00B6765E" w:rsidP="00A47480">
      <w:pPr>
        <w:jc w:val="center"/>
        <w:rPr>
          <w:rFonts w:ascii="Times New Roman" w:hAnsi="Times New Roman" w:cs="Times New Roman"/>
          <w:sz w:val="24"/>
          <w:szCs w:val="24"/>
        </w:rPr>
      </w:pPr>
      <w:r>
        <w:rPr>
          <w:rFonts w:ascii="Times New Roman" w:hAnsi="Times New Roman" w:cs="Times New Roman"/>
          <w:sz w:val="24"/>
          <w:szCs w:val="24"/>
        </w:rPr>
        <w:t>Antonio Rangel</w:t>
      </w:r>
    </w:p>
    <w:p w14:paraId="544B7A76" w14:textId="77777777" w:rsidR="00B6765E" w:rsidRDefault="00B6765E" w:rsidP="00A47480">
      <w:pPr>
        <w:jc w:val="center"/>
        <w:rPr>
          <w:rFonts w:ascii="Times New Roman" w:hAnsi="Times New Roman" w:cs="Times New Roman"/>
          <w:sz w:val="24"/>
          <w:szCs w:val="24"/>
        </w:rPr>
      </w:pPr>
      <w:r>
        <w:rPr>
          <w:rFonts w:ascii="Times New Roman" w:hAnsi="Times New Roman" w:cs="Times New Roman"/>
          <w:sz w:val="24"/>
          <w:szCs w:val="24"/>
        </w:rPr>
        <w:t>California Institute of Technology, USA</w:t>
      </w:r>
    </w:p>
    <w:p w14:paraId="09857A6E" w14:textId="1475DA48" w:rsidR="00B6765E" w:rsidRDefault="00B6765E" w:rsidP="00A47480">
      <w:pPr>
        <w:jc w:val="both"/>
        <w:rPr>
          <w:rFonts w:ascii="Times New Roman" w:hAnsi="Times New Roman" w:cs="Times New Roman"/>
          <w:sz w:val="24"/>
          <w:szCs w:val="24"/>
        </w:rPr>
      </w:pPr>
      <w:r>
        <w:rPr>
          <w:rFonts w:ascii="Times New Roman" w:hAnsi="Times New Roman" w:cs="Times New Roman"/>
          <w:sz w:val="24"/>
          <w:szCs w:val="24"/>
        </w:rPr>
        <w:br w:type="page"/>
      </w:r>
    </w:p>
    <w:p w14:paraId="6958D814" w14:textId="0538E046" w:rsidR="00E60842" w:rsidRPr="00B8004D" w:rsidRDefault="00B8004D" w:rsidP="00A47480">
      <w:pPr>
        <w:jc w:val="both"/>
        <w:rPr>
          <w:rFonts w:ascii="Times New Roman" w:hAnsi="Times New Roman" w:cs="Times New Roman"/>
          <w:sz w:val="36"/>
          <w:szCs w:val="36"/>
        </w:rPr>
      </w:pPr>
      <w:r w:rsidRPr="00B8004D">
        <w:rPr>
          <w:rFonts w:ascii="Times New Roman" w:hAnsi="Times New Roman" w:cs="Times New Roman"/>
          <w:sz w:val="36"/>
          <w:szCs w:val="36"/>
        </w:rPr>
        <w:lastRenderedPageBreak/>
        <w:t>Introduction</w:t>
      </w:r>
    </w:p>
    <w:p w14:paraId="77F72F8E" w14:textId="03710F5D" w:rsidR="00B8004D" w:rsidRPr="00B8004D" w:rsidRDefault="00B8004D" w:rsidP="00A47480">
      <w:pPr>
        <w:jc w:val="both"/>
        <w:rPr>
          <w:rFonts w:ascii="Times New Roman" w:hAnsi="Times New Roman" w:cs="Times New Roman"/>
          <w:sz w:val="24"/>
          <w:szCs w:val="24"/>
        </w:rPr>
      </w:pPr>
      <w:r w:rsidRPr="00B8004D">
        <w:rPr>
          <w:rFonts w:ascii="Times New Roman" w:hAnsi="Times New Roman" w:cs="Times New Roman"/>
          <w:sz w:val="24"/>
          <w:szCs w:val="24"/>
        </w:rPr>
        <w:t>We encounter simple choices between positively valued options in our day-to-day lives (</w:t>
      </w:r>
      <w:r w:rsidR="003D4A07" w:rsidRPr="00B8004D">
        <w:rPr>
          <w:rFonts w:ascii="Times New Roman" w:hAnsi="Times New Roman" w:cs="Times New Roman"/>
          <w:sz w:val="24"/>
          <w:szCs w:val="24"/>
        </w:rPr>
        <w:t>e.g.,</w:t>
      </w:r>
      <w:r w:rsidRPr="00B8004D">
        <w:rPr>
          <w:rFonts w:ascii="Times New Roman" w:hAnsi="Times New Roman" w:cs="Times New Roman"/>
          <w:sz w:val="24"/>
          <w:szCs w:val="24"/>
        </w:rPr>
        <w:t xml:space="preserve"> what to buy for dinner at the grocery store, which product we like on an e-commerce website).</w:t>
      </w:r>
      <w:r>
        <w:rPr>
          <w:rFonts w:ascii="Times New Roman" w:hAnsi="Times New Roman" w:cs="Times New Roman"/>
          <w:sz w:val="24"/>
          <w:szCs w:val="24"/>
        </w:rPr>
        <w:t xml:space="preserve"> </w:t>
      </w:r>
      <w:r w:rsidRPr="00B8004D">
        <w:rPr>
          <w:rFonts w:ascii="Times New Roman" w:hAnsi="Times New Roman" w:cs="Times New Roman"/>
          <w:sz w:val="24"/>
          <w:szCs w:val="24"/>
        </w:rPr>
        <w:t xml:space="preserve">In these scenarios, previous studies have documented robust attentional choice biases </w:t>
      </w:r>
      <w:r w:rsidR="007F2458">
        <w:rPr>
          <w:rFonts w:ascii="Times New Roman" w:hAnsi="Times New Roman" w:cs="Times New Roman"/>
          <w:sz w:val="24"/>
          <w:szCs w:val="24"/>
        </w:rPr>
        <w:fldChar w:fldCharType="begin"/>
      </w:r>
      <w:r w:rsidR="00CE24DE">
        <w:rPr>
          <w:rFonts w:ascii="Times New Roman" w:hAnsi="Times New Roman" w:cs="Times New Roman"/>
          <w:sz w:val="24"/>
          <w:szCs w:val="24"/>
        </w:rPr>
        <w:instrText xml:space="preserve"> ADDIN ZOTERO_ITEM CSL_CITATION {"citationID":"rrmTq2hZ","properties":{"formattedCitation":"(Eum et al., forthcoming; Fiedler &amp; Gl\\uc0\\u246{}ckner, 2012; Krajbich et al., 2010; Krajbich &amp; Rangel, 2011; Smith &amp; Krajbich, 2018)","plainCitation":"(Eum et al., forthcoming; Fiedler &amp; Glöckner, 2012; Krajbich et al., 2010; Krajbich &amp; Rangel, 2011; Smith &amp; Krajbich, 2018)","noteIndex":0},"citationItems":[{"id":2232,"uris":["http://zotero.org/users/8933003/items/QGVET835"],"itemData":{"id":2232,"type":"article-journal","container-title":"Psychological Science","title":"Peripheral Visual Information Halves Attentional Choice Biases","author":[{"family":"Eum","given":"Brenden"},{"family":"Dolbier","given":"Stephanie"},{"family":"Rangel","given":"Antonio"}],"issued":{"literal":"forthcoming"}}},{"id":1623,"uris":["http://zotero.org/users/8933003/items/H8D8QZ2X"],"itemData":{"id":1623,"type":"article-journal","container-title":"Frontiers in Psychology","DOI":"10.3389/fpsyg.2012.00335","ISSN":"1664-1078","journalAbbreviation":"Front. Psychology","source":"DOI.org (Crossref)","title":"The Dynamics of Decision Making in Risky Choice: An Eye-Tracking Analysis","title-short":"The Dynamics of Decision Making in Risky Choice","URL":"http://journal.frontiersin.org/article/10.3389/fpsyg.2012.00335/abstract","volume":"3","author":[{"family":"Fiedler","given":"Susann"},{"family":"Glöckner","given":"Andreas"}],"accessed":{"date-parts":[["2023",4,7]]},"issued":{"date-parts":[["2012"]]}}},{"id":244,"uris":["http://zotero.org/users/8933003/items/8SRGFQFV"],"itemData":{"id":244,"type":"article-journal","container-title":"Nature Neuroscience","DOI":"10.1038/nn.2635","ISSN":"1097-6256, 1546-1726","issue":"10","journalAbbreviation":"Nat Neurosci","language":"en","page":"1292-1298","source":"DOI.org (Crossref)","title":"Visual fixations and the computation and comparison of value in simple choice","volume":"13","author":[{"family":"Krajbich","given":"Ian"},{"family":"Armel","given":"Carrie"},{"family":"Rangel","given":"Antonio"}],"issued":{"date-parts":[["2010",10]]}}},{"id":241,"uris":["http://zotero.org/users/8933003/items/S8CVFUI6"],"itemData":{"id":241,"type":"article-journal","container-title":"Proceedings of the National Academy of Sciences","DOI":"10.1073/pnas.1101328108","ISSN":"0027-8424, 1091-6490","issue":"33","journalAbbreviation":"Proceedings of the National Academy of Sciences","language":"en","page":"13852-13857","source":"DOI.org (Crossref)","title":"Multialternative drift-diffusion model predicts the relationship between visual fixations and choice in value-based decisions","volume":"108","author":[{"family":"Krajbich","given":"I."},{"family":"Rangel","given":"A."}],"issued":{"date-parts":[["2011",8,16]]}}},{"id":146,"uris":["http://zotero.org/users/8933003/items/I5URFRY2"],"itemData":{"id":146,"type":"article-journal","container-title":"Journal of Experimental Psychology: General","DOI":"10.1037/xge0000482","ISSN":"1939-2222, 0096-3445","issue":"12","journalAbbreviation":"Journal of Experimental Psychology: General","language":"en","page":"1810-1826","source":"DOI.org (Crossref)","title":"Attention and choice across domains.","volume":"147","author":[{"family":"Smith","given":"Stephanie M."},{"family":"Krajbich","given":"Ian"}],"issued":{"date-parts":[["2018",12]]}}}],"schema":"https://github.com/citation-style-language/schema/raw/master/csl-citation.json"} </w:instrText>
      </w:r>
      <w:r w:rsidR="007F2458">
        <w:rPr>
          <w:rFonts w:ascii="Times New Roman" w:hAnsi="Times New Roman" w:cs="Times New Roman"/>
          <w:sz w:val="24"/>
          <w:szCs w:val="24"/>
        </w:rPr>
        <w:fldChar w:fldCharType="separate"/>
      </w:r>
      <w:r w:rsidR="00CE24DE" w:rsidRPr="00CE24DE">
        <w:rPr>
          <w:rFonts w:ascii="Times New Roman" w:hAnsi="Times New Roman" w:cs="Times New Roman"/>
          <w:kern w:val="0"/>
          <w:sz w:val="24"/>
          <w:szCs w:val="24"/>
        </w:rPr>
        <w:t>(Eum et al., forthcoming; Fiedler &amp; Glöckner, 2012; Krajbich et al., 2010; Krajbich &amp; Rangel, 2011; Smith &amp; Krajbich, 2018)</w:t>
      </w:r>
      <w:r w:rsidR="007F2458">
        <w:rPr>
          <w:rFonts w:ascii="Times New Roman" w:hAnsi="Times New Roman" w:cs="Times New Roman"/>
          <w:sz w:val="24"/>
          <w:szCs w:val="24"/>
        </w:rPr>
        <w:fldChar w:fldCharType="end"/>
      </w:r>
      <w:r w:rsidR="00F11FBC">
        <w:rPr>
          <w:rFonts w:ascii="Times New Roman" w:hAnsi="Times New Roman" w:cs="Times New Roman"/>
          <w:sz w:val="24"/>
          <w:szCs w:val="24"/>
        </w:rPr>
        <w:t xml:space="preserve"> which manifest in </w:t>
      </w:r>
      <w:r w:rsidR="005D3574">
        <w:rPr>
          <w:rFonts w:ascii="Times New Roman" w:hAnsi="Times New Roman" w:cs="Times New Roman"/>
          <w:sz w:val="24"/>
          <w:szCs w:val="24"/>
        </w:rPr>
        <w:t>behavior</w:t>
      </w:r>
      <w:r w:rsidR="00F11FBC">
        <w:rPr>
          <w:rFonts w:ascii="Times New Roman" w:hAnsi="Times New Roman" w:cs="Times New Roman"/>
          <w:sz w:val="24"/>
          <w:szCs w:val="24"/>
        </w:rPr>
        <w:t xml:space="preserve"> </w:t>
      </w:r>
      <w:r w:rsidR="005D3574">
        <w:rPr>
          <w:rFonts w:ascii="Times New Roman" w:hAnsi="Times New Roman" w:cs="Times New Roman"/>
          <w:sz w:val="24"/>
          <w:szCs w:val="24"/>
        </w:rPr>
        <w:t>as</w:t>
      </w:r>
      <w:r w:rsidRPr="00B8004D">
        <w:rPr>
          <w:rFonts w:ascii="Times New Roman" w:hAnsi="Times New Roman" w:cs="Times New Roman"/>
          <w:sz w:val="24"/>
          <w:szCs w:val="24"/>
        </w:rPr>
        <w:t xml:space="preserve"> last fixation bias (</w:t>
      </w:r>
      <w:r w:rsidR="003D4A07" w:rsidRPr="00B8004D">
        <w:rPr>
          <w:rFonts w:ascii="Times New Roman" w:hAnsi="Times New Roman" w:cs="Times New Roman"/>
          <w:sz w:val="24"/>
          <w:szCs w:val="24"/>
        </w:rPr>
        <w:t>i.e.,</w:t>
      </w:r>
      <w:r w:rsidRPr="00B8004D">
        <w:rPr>
          <w:rFonts w:ascii="Times New Roman" w:hAnsi="Times New Roman" w:cs="Times New Roman"/>
          <w:sz w:val="24"/>
          <w:szCs w:val="24"/>
        </w:rPr>
        <w:t xml:space="preserve"> the tendency to choose the last fixated option), and net fixation bias (</w:t>
      </w:r>
      <w:r w:rsidR="003D4A07" w:rsidRPr="00B8004D">
        <w:rPr>
          <w:rFonts w:ascii="Times New Roman" w:hAnsi="Times New Roman" w:cs="Times New Roman"/>
          <w:sz w:val="24"/>
          <w:szCs w:val="24"/>
        </w:rPr>
        <w:t>i.e.,</w:t>
      </w:r>
      <w:r w:rsidRPr="00B8004D">
        <w:rPr>
          <w:rFonts w:ascii="Times New Roman" w:hAnsi="Times New Roman" w:cs="Times New Roman"/>
          <w:sz w:val="24"/>
          <w:szCs w:val="24"/>
        </w:rPr>
        <w:t xml:space="preserve"> the tendency to choose the option with more relative fixation time).</w:t>
      </w:r>
      <w:r w:rsidR="00F760DA">
        <w:rPr>
          <w:rFonts w:ascii="Times New Roman" w:hAnsi="Times New Roman" w:cs="Times New Roman"/>
          <w:sz w:val="24"/>
          <w:szCs w:val="24"/>
        </w:rPr>
        <w:t xml:space="preserve"> </w:t>
      </w:r>
      <w:r w:rsidRPr="00B8004D">
        <w:rPr>
          <w:rFonts w:ascii="Times New Roman" w:hAnsi="Times New Roman" w:cs="Times New Roman"/>
          <w:sz w:val="24"/>
          <w:szCs w:val="24"/>
        </w:rPr>
        <w:t>Recent evidence has shown that these attentional effects on choices are causal</w:t>
      </w:r>
      <w:r w:rsidR="00CE24DE">
        <w:rPr>
          <w:rFonts w:ascii="Times New Roman" w:hAnsi="Times New Roman" w:cs="Times New Roman"/>
          <w:sz w:val="24"/>
          <w:szCs w:val="24"/>
        </w:rPr>
        <w:t xml:space="preserve"> </w:t>
      </w:r>
      <w:r w:rsidR="00CE24DE">
        <w:rPr>
          <w:rFonts w:ascii="Times New Roman" w:hAnsi="Times New Roman" w:cs="Times New Roman"/>
          <w:sz w:val="24"/>
          <w:szCs w:val="24"/>
        </w:rPr>
        <w:fldChar w:fldCharType="begin"/>
      </w:r>
      <w:r w:rsidR="00CE24DE">
        <w:rPr>
          <w:rFonts w:ascii="Times New Roman" w:hAnsi="Times New Roman" w:cs="Times New Roman"/>
          <w:sz w:val="24"/>
          <w:szCs w:val="24"/>
        </w:rPr>
        <w:instrText xml:space="preserve"> ADDIN ZOTERO_ITEM CSL_CITATION {"citationID":"ktjKy7l1","properties":{"formattedCitation":"(Tavares et al., 2017)","plainCitation":"(Tavares et al., 2017)","noteIndex":0},"citationItems":[{"id":71,"uris":["http://zotero.org/users/8933003/items/72DFD2ZY"],"itemData":{"id":71,"type":"article-journal","abstract":"Perceptual decisions requiring the comparison of spatially distributed stimuli that are ﬁxated sequentially might be inﬂuenced by ﬂuctuations in visual attention. We used two psychophysical tasks with human subjects to investigate the extent to which visual attention inﬂuences simple perceptual choices, and to test the extent to which the attentional Drift Diffusion Model (aDDM) provides a good computational description of how attention affects the underlying decision processes. We ﬁnd evidence for sizable attentional choice biases and that the aDDM provides a reasonable quantitative description of the relationship between ﬂuctuations in visual attention, choices and reaction times. We also ﬁnd that exogenous manipulations of attention induce choice biases consistent with the predictions of the model.","container-title":"Frontiers in Neuroscience","DOI":"10.3389/fnins.2017.00468","ISSN":"1662-453X","journalAbbreviation":"Front. Neurosci.","language":"en","page":"468","source":"DOI.org (Crossref)","title":"The Attentional Drift Diffusion Model of Simple Perceptual Decision-Making","volume":"11","author":[{"family":"Tavares","given":"Gabriela"},{"family":"Perona","given":"Pietro"},{"family":"Rangel","given":"Antonio"}],"issued":{"date-parts":[["2017",8,24]]}}}],"schema":"https://github.com/citation-style-language/schema/raw/master/csl-citation.json"} </w:instrText>
      </w:r>
      <w:r w:rsidR="00CE24DE">
        <w:rPr>
          <w:rFonts w:ascii="Times New Roman" w:hAnsi="Times New Roman" w:cs="Times New Roman"/>
          <w:sz w:val="24"/>
          <w:szCs w:val="24"/>
        </w:rPr>
        <w:fldChar w:fldCharType="separate"/>
      </w:r>
      <w:r w:rsidR="00CE24DE" w:rsidRPr="00CE24DE">
        <w:rPr>
          <w:rFonts w:ascii="Times New Roman" w:hAnsi="Times New Roman" w:cs="Times New Roman"/>
          <w:sz w:val="24"/>
        </w:rPr>
        <w:t>(Tavares et al., 2017)</w:t>
      </w:r>
      <w:r w:rsidR="00CE24DE">
        <w:rPr>
          <w:rFonts w:ascii="Times New Roman" w:hAnsi="Times New Roman" w:cs="Times New Roman"/>
          <w:sz w:val="24"/>
          <w:szCs w:val="24"/>
        </w:rPr>
        <w:fldChar w:fldCharType="end"/>
      </w:r>
      <w:r w:rsidRPr="00B8004D">
        <w:rPr>
          <w:rFonts w:ascii="Times New Roman" w:hAnsi="Times New Roman" w:cs="Times New Roman"/>
          <w:sz w:val="24"/>
          <w:szCs w:val="24"/>
        </w:rPr>
        <w:t>.</w:t>
      </w:r>
    </w:p>
    <w:p w14:paraId="256DB86D" w14:textId="13F60A24" w:rsidR="00B8004D" w:rsidRDefault="00B8004D" w:rsidP="00A47480">
      <w:pPr>
        <w:jc w:val="both"/>
        <w:rPr>
          <w:rFonts w:ascii="Times New Roman" w:hAnsi="Times New Roman" w:cs="Times New Roman"/>
          <w:sz w:val="24"/>
          <w:szCs w:val="24"/>
        </w:rPr>
      </w:pPr>
      <w:r w:rsidRPr="00B8004D">
        <w:rPr>
          <w:rFonts w:ascii="Times New Roman" w:hAnsi="Times New Roman" w:cs="Times New Roman"/>
          <w:sz w:val="24"/>
          <w:szCs w:val="24"/>
        </w:rPr>
        <w:t>However, we also encounter choices between negatively valued options (</w:t>
      </w:r>
      <w:r w:rsidR="003D4A07" w:rsidRPr="00B8004D">
        <w:rPr>
          <w:rFonts w:ascii="Times New Roman" w:hAnsi="Times New Roman" w:cs="Times New Roman"/>
          <w:sz w:val="24"/>
          <w:szCs w:val="24"/>
        </w:rPr>
        <w:t>e.g.,</w:t>
      </w:r>
      <w:r w:rsidRPr="00B8004D">
        <w:rPr>
          <w:rFonts w:ascii="Times New Roman" w:hAnsi="Times New Roman" w:cs="Times New Roman"/>
          <w:sz w:val="24"/>
          <w:szCs w:val="24"/>
        </w:rPr>
        <w:t xml:space="preserve"> which credit card bill to pay off first, whether or not to pay for repairs on a car)</w:t>
      </w:r>
      <w:r w:rsidR="002D7A74">
        <w:rPr>
          <w:rFonts w:ascii="Times New Roman" w:hAnsi="Times New Roman" w:cs="Times New Roman"/>
          <w:sz w:val="24"/>
          <w:szCs w:val="24"/>
        </w:rPr>
        <w:t xml:space="preserve">, which have not </w:t>
      </w:r>
      <w:r w:rsidR="009731E6">
        <w:rPr>
          <w:rFonts w:ascii="Times New Roman" w:hAnsi="Times New Roman" w:cs="Times New Roman"/>
          <w:sz w:val="24"/>
          <w:szCs w:val="24"/>
        </w:rPr>
        <w:t>been studied using eye-tracking.</w:t>
      </w:r>
      <w:r w:rsidR="00BF63E5">
        <w:rPr>
          <w:rFonts w:ascii="Times New Roman" w:hAnsi="Times New Roman" w:cs="Times New Roman"/>
          <w:sz w:val="24"/>
          <w:szCs w:val="24"/>
        </w:rPr>
        <w:t xml:space="preserve"> It is unclear whether attention </w:t>
      </w:r>
      <w:r w:rsidR="00B50C6D">
        <w:rPr>
          <w:rFonts w:ascii="Times New Roman" w:hAnsi="Times New Roman" w:cs="Times New Roman"/>
          <w:sz w:val="24"/>
          <w:szCs w:val="24"/>
        </w:rPr>
        <w:t xml:space="preserve">to a negatively valued option makes it relatively more or less </w:t>
      </w:r>
      <w:r w:rsidR="009C4929">
        <w:rPr>
          <w:rFonts w:ascii="Times New Roman" w:hAnsi="Times New Roman" w:cs="Times New Roman"/>
          <w:sz w:val="24"/>
          <w:szCs w:val="24"/>
        </w:rPr>
        <w:t>appealing when</w:t>
      </w:r>
      <w:r w:rsidR="00BB57F5">
        <w:rPr>
          <w:rFonts w:ascii="Times New Roman" w:hAnsi="Times New Roman" w:cs="Times New Roman"/>
          <w:sz w:val="24"/>
          <w:szCs w:val="24"/>
        </w:rPr>
        <w:t xml:space="preserve"> </w:t>
      </w:r>
      <w:r w:rsidR="00E042A6">
        <w:rPr>
          <w:rFonts w:ascii="Times New Roman" w:hAnsi="Times New Roman" w:cs="Times New Roman"/>
          <w:sz w:val="24"/>
          <w:szCs w:val="24"/>
        </w:rPr>
        <w:t xml:space="preserve">one is forced to make a choice </w:t>
      </w:r>
      <w:r w:rsidR="00615262">
        <w:rPr>
          <w:rFonts w:ascii="Times New Roman" w:hAnsi="Times New Roman" w:cs="Times New Roman"/>
          <w:sz w:val="24"/>
          <w:szCs w:val="24"/>
        </w:rPr>
        <w:t>amongst</w:t>
      </w:r>
      <w:r w:rsidR="00E042A6">
        <w:rPr>
          <w:rFonts w:ascii="Times New Roman" w:hAnsi="Times New Roman" w:cs="Times New Roman"/>
          <w:sz w:val="24"/>
          <w:szCs w:val="24"/>
        </w:rPr>
        <w:t xml:space="preserve"> negatively valued options</w:t>
      </w:r>
      <w:r w:rsidR="00BB57F5">
        <w:rPr>
          <w:rFonts w:ascii="Times New Roman" w:hAnsi="Times New Roman" w:cs="Times New Roman"/>
          <w:sz w:val="24"/>
          <w:szCs w:val="24"/>
        </w:rPr>
        <w:t>.</w:t>
      </w:r>
      <w:r w:rsidR="00F760DA">
        <w:rPr>
          <w:rFonts w:ascii="Times New Roman" w:hAnsi="Times New Roman" w:cs="Times New Roman"/>
          <w:sz w:val="24"/>
          <w:szCs w:val="24"/>
        </w:rPr>
        <w:t xml:space="preserve"> </w:t>
      </w:r>
      <w:r w:rsidR="00E33864">
        <w:rPr>
          <w:rFonts w:ascii="Times New Roman" w:hAnsi="Times New Roman" w:cs="Times New Roman"/>
          <w:sz w:val="24"/>
          <w:szCs w:val="24"/>
        </w:rPr>
        <w:t>Here, w</w:t>
      </w:r>
      <w:r w:rsidRPr="00B8004D">
        <w:rPr>
          <w:rFonts w:ascii="Times New Roman" w:hAnsi="Times New Roman" w:cs="Times New Roman"/>
          <w:sz w:val="24"/>
          <w:szCs w:val="24"/>
        </w:rPr>
        <w:t xml:space="preserve">e investigate whether attentional choice biases are similar </w:t>
      </w:r>
      <w:r w:rsidR="005352E4">
        <w:rPr>
          <w:rFonts w:ascii="Times New Roman" w:hAnsi="Times New Roman" w:cs="Times New Roman"/>
          <w:sz w:val="24"/>
          <w:szCs w:val="24"/>
        </w:rPr>
        <w:t>in</w:t>
      </w:r>
      <w:r w:rsidRPr="00B8004D">
        <w:rPr>
          <w:rFonts w:ascii="Times New Roman" w:hAnsi="Times New Roman" w:cs="Times New Roman"/>
          <w:sz w:val="24"/>
          <w:szCs w:val="24"/>
        </w:rPr>
        <w:t xml:space="preserve"> choices </w:t>
      </w:r>
      <w:r w:rsidR="005352E4">
        <w:rPr>
          <w:rFonts w:ascii="Times New Roman" w:hAnsi="Times New Roman" w:cs="Times New Roman"/>
          <w:sz w:val="24"/>
          <w:szCs w:val="24"/>
        </w:rPr>
        <w:t>between</w:t>
      </w:r>
      <w:r w:rsidRPr="00B8004D">
        <w:rPr>
          <w:rFonts w:ascii="Times New Roman" w:hAnsi="Times New Roman" w:cs="Times New Roman"/>
          <w:sz w:val="24"/>
          <w:szCs w:val="24"/>
        </w:rPr>
        <w:t xml:space="preserve"> gains and </w:t>
      </w:r>
      <w:r w:rsidR="00962D7B">
        <w:rPr>
          <w:rFonts w:ascii="Times New Roman" w:hAnsi="Times New Roman" w:cs="Times New Roman"/>
          <w:sz w:val="24"/>
          <w:szCs w:val="24"/>
        </w:rPr>
        <w:t xml:space="preserve">in </w:t>
      </w:r>
      <w:r w:rsidRPr="00B8004D">
        <w:rPr>
          <w:rFonts w:ascii="Times New Roman" w:hAnsi="Times New Roman" w:cs="Times New Roman"/>
          <w:sz w:val="24"/>
          <w:szCs w:val="24"/>
        </w:rPr>
        <w:t xml:space="preserve">choices </w:t>
      </w:r>
      <w:r w:rsidR="00962D7B">
        <w:rPr>
          <w:rFonts w:ascii="Times New Roman" w:hAnsi="Times New Roman" w:cs="Times New Roman"/>
          <w:sz w:val="24"/>
          <w:szCs w:val="24"/>
        </w:rPr>
        <w:t>between</w:t>
      </w:r>
      <w:r w:rsidRPr="00B8004D">
        <w:rPr>
          <w:rFonts w:ascii="Times New Roman" w:hAnsi="Times New Roman" w:cs="Times New Roman"/>
          <w:sz w:val="24"/>
          <w:szCs w:val="24"/>
        </w:rPr>
        <w:t xml:space="preserve"> losses.</w:t>
      </w:r>
      <w:r w:rsidR="00F760DA">
        <w:rPr>
          <w:rFonts w:ascii="Times New Roman" w:hAnsi="Times New Roman" w:cs="Times New Roman"/>
          <w:sz w:val="24"/>
          <w:szCs w:val="24"/>
        </w:rPr>
        <w:t xml:space="preserve"> </w:t>
      </w:r>
      <w:r w:rsidRPr="00B8004D">
        <w:rPr>
          <w:rFonts w:ascii="Times New Roman" w:hAnsi="Times New Roman" w:cs="Times New Roman"/>
          <w:sz w:val="24"/>
          <w:szCs w:val="24"/>
        </w:rPr>
        <w:t>Based on the Attentional Drift-Diffusion-Model</w:t>
      </w:r>
      <w:r w:rsidR="00DC12FE">
        <w:rPr>
          <w:rFonts w:ascii="Times New Roman" w:hAnsi="Times New Roman" w:cs="Times New Roman"/>
          <w:sz w:val="24"/>
          <w:szCs w:val="24"/>
        </w:rPr>
        <w:t xml:space="preserve"> </w:t>
      </w:r>
      <w:r w:rsidR="00DC12FE">
        <w:rPr>
          <w:rFonts w:ascii="Times New Roman" w:hAnsi="Times New Roman" w:cs="Times New Roman"/>
          <w:sz w:val="24"/>
          <w:szCs w:val="24"/>
        </w:rPr>
        <w:fldChar w:fldCharType="begin"/>
      </w:r>
      <w:r w:rsidR="00DC12FE">
        <w:rPr>
          <w:rFonts w:ascii="Times New Roman" w:hAnsi="Times New Roman" w:cs="Times New Roman"/>
          <w:sz w:val="24"/>
          <w:szCs w:val="24"/>
        </w:rPr>
        <w:instrText xml:space="preserve"> ADDIN ZOTERO_ITEM CSL_CITATION {"citationID":"VBcqGI0X","properties":{"formattedCitation":"(Krajbich et al., 2010)","plainCitation":"(Krajbich et al., 2010)","noteIndex":0},"citationItems":[{"id":244,"uris":["http://zotero.org/users/8933003/items/8SRGFQFV"],"itemData":{"id":244,"type":"article-journal","container-title":"Nature Neuroscience","DOI":"10.1038/nn.2635","ISSN":"1097-6256, 1546-1726","issue":"10","journalAbbreviation":"Nat Neurosci","language":"en","page":"1292-1298","source":"DOI.org (Crossref)","title":"Visual fixations and the computation and comparison of value in simple choice","volume":"13","author":[{"family":"Krajbich","given":"Ian"},{"family":"Armel","given":"Carrie"},{"family":"Rangel","given":"Antonio"}],"issued":{"date-parts":[["2010",10]]}}}],"schema":"https://github.com/citation-style-language/schema/raw/master/csl-citation.json"} </w:instrText>
      </w:r>
      <w:r w:rsidR="00DC12FE">
        <w:rPr>
          <w:rFonts w:ascii="Times New Roman" w:hAnsi="Times New Roman" w:cs="Times New Roman"/>
          <w:sz w:val="24"/>
          <w:szCs w:val="24"/>
        </w:rPr>
        <w:fldChar w:fldCharType="separate"/>
      </w:r>
      <w:r w:rsidR="00DC12FE" w:rsidRPr="00DC12FE">
        <w:rPr>
          <w:rFonts w:ascii="Times New Roman" w:hAnsi="Times New Roman" w:cs="Times New Roman"/>
          <w:sz w:val="24"/>
        </w:rPr>
        <w:t>(Krajbich et al., 2010)</w:t>
      </w:r>
      <w:r w:rsidR="00DC12FE">
        <w:rPr>
          <w:rFonts w:ascii="Times New Roman" w:hAnsi="Times New Roman" w:cs="Times New Roman"/>
          <w:sz w:val="24"/>
          <w:szCs w:val="24"/>
        </w:rPr>
        <w:fldChar w:fldCharType="end"/>
      </w:r>
      <w:r w:rsidRPr="00B8004D">
        <w:rPr>
          <w:rFonts w:ascii="Times New Roman" w:hAnsi="Times New Roman" w:cs="Times New Roman"/>
          <w:sz w:val="24"/>
          <w:szCs w:val="24"/>
        </w:rPr>
        <w:t>, we hypothesized a bias towards choosing the more fixated option in gains, and against choosing the more fixated option in losses.</w:t>
      </w:r>
      <w:r w:rsidR="00F760DA">
        <w:rPr>
          <w:rFonts w:ascii="Times New Roman" w:hAnsi="Times New Roman" w:cs="Times New Roman"/>
          <w:sz w:val="24"/>
          <w:szCs w:val="24"/>
        </w:rPr>
        <w:t xml:space="preserve"> </w:t>
      </w:r>
      <w:r w:rsidR="00614271">
        <w:rPr>
          <w:rFonts w:ascii="Times New Roman" w:hAnsi="Times New Roman" w:cs="Times New Roman"/>
          <w:sz w:val="24"/>
          <w:szCs w:val="24"/>
        </w:rPr>
        <w:t xml:space="preserve">This would imply that attention to an option </w:t>
      </w:r>
      <w:r w:rsidR="00CD5E10">
        <w:rPr>
          <w:rFonts w:ascii="Times New Roman" w:hAnsi="Times New Roman" w:cs="Times New Roman"/>
          <w:sz w:val="24"/>
          <w:szCs w:val="24"/>
        </w:rPr>
        <w:t xml:space="preserve">in a choice between losses makes it </w:t>
      </w:r>
      <w:r w:rsidR="00441B24">
        <w:rPr>
          <w:rFonts w:ascii="Times New Roman" w:hAnsi="Times New Roman" w:cs="Times New Roman"/>
          <w:sz w:val="24"/>
          <w:szCs w:val="24"/>
        </w:rPr>
        <w:t xml:space="preserve">relatively </w:t>
      </w:r>
      <w:r w:rsidR="00CD5E10">
        <w:rPr>
          <w:rFonts w:ascii="Times New Roman" w:hAnsi="Times New Roman" w:cs="Times New Roman"/>
          <w:sz w:val="24"/>
          <w:szCs w:val="24"/>
        </w:rPr>
        <w:t xml:space="preserve">less appealing. </w:t>
      </w:r>
      <w:r w:rsidRPr="00B8004D">
        <w:rPr>
          <w:rFonts w:ascii="Times New Roman" w:hAnsi="Times New Roman" w:cs="Times New Roman"/>
          <w:sz w:val="24"/>
          <w:szCs w:val="24"/>
        </w:rPr>
        <w:t>To preview the results, we find evidence of a bias towards choosing the more fixated option, regardless of condition.</w:t>
      </w:r>
      <w:r w:rsidR="00441B24">
        <w:rPr>
          <w:rFonts w:ascii="Times New Roman" w:hAnsi="Times New Roman" w:cs="Times New Roman"/>
          <w:sz w:val="24"/>
          <w:szCs w:val="24"/>
        </w:rPr>
        <w:t xml:space="preserve"> This</w:t>
      </w:r>
      <w:r w:rsidR="009B1578">
        <w:rPr>
          <w:rFonts w:ascii="Times New Roman" w:hAnsi="Times New Roman" w:cs="Times New Roman"/>
          <w:sz w:val="24"/>
          <w:szCs w:val="24"/>
        </w:rPr>
        <w:t xml:space="preserve"> instead</w:t>
      </w:r>
      <w:r w:rsidR="00441B24">
        <w:rPr>
          <w:rFonts w:ascii="Times New Roman" w:hAnsi="Times New Roman" w:cs="Times New Roman"/>
          <w:sz w:val="24"/>
          <w:szCs w:val="24"/>
        </w:rPr>
        <w:t xml:space="preserve"> implies that attention to an option in a choice between losses makes it relatively more appealing.</w:t>
      </w:r>
    </w:p>
    <w:p w14:paraId="0F67521A" w14:textId="77777777" w:rsidR="00F760DA" w:rsidRDefault="00F760DA" w:rsidP="00A47480">
      <w:pPr>
        <w:jc w:val="both"/>
        <w:rPr>
          <w:rFonts w:ascii="Times New Roman" w:hAnsi="Times New Roman" w:cs="Times New Roman"/>
          <w:sz w:val="24"/>
          <w:szCs w:val="24"/>
        </w:rPr>
      </w:pPr>
    </w:p>
    <w:p w14:paraId="751432AE" w14:textId="6C084620" w:rsidR="00E60842" w:rsidRPr="00404F80" w:rsidRDefault="00F760DA" w:rsidP="00A47480">
      <w:pPr>
        <w:jc w:val="both"/>
        <w:rPr>
          <w:rFonts w:ascii="Times New Roman" w:hAnsi="Times New Roman" w:cs="Times New Roman"/>
          <w:sz w:val="36"/>
          <w:szCs w:val="36"/>
        </w:rPr>
      </w:pPr>
      <w:r w:rsidRPr="00404F80">
        <w:rPr>
          <w:rFonts w:ascii="Times New Roman" w:hAnsi="Times New Roman" w:cs="Times New Roman"/>
          <w:sz w:val="36"/>
          <w:szCs w:val="36"/>
        </w:rPr>
        <w:t>Methods</w:t>
      </w:r>
    </w:p>
    <w:p w14:paraId="5C76E728" w14:textId="4F7877AF" w:rsidR="00F760DA" w:rsidRPr="00404F80" w:rsidRDefault="00F760DA" w:rsidP="00A47480">
      <w:pPr>
        <w:jc w:val="both"/>
        <w:rPr>
          <w:rFonts w:ascii="Times New Roman" w:hAnsi="Times New Roman" w:cs="Times New Roman"/>
          <w:sz w:val="32"/>
          <w:szCs w:val="32"/>
        </w:rPr>
      </w:pPr>
      <w:r w:rsidRPr="00404F80">
        <w:rPr>
          <w:rFonts w:ascii="Times New Roman" w:hAnsi="Times New Roman" w:cs="Times New Roman"/>
          <w:sz w:val="32"/>
          <w:szCs w:val="32"/>
        </w:rPr>
        <w:t>Task</w:t>
      </w:r>
    </w:p>
    <w:p w14:paraId="1BE65218" w14:textId="0969B809" w:rsidR="00F760DA" w:rsidRPr="00F760DA" w:rsidRDefault="00F760DA" w:rsidP="00A47480">
      <w:pPr>
        <w:jc w:val="both"/>
        <w:rPr>
          <w:rFonts w:ascii="Times New Roman" w:hAnsi="Times New Roman" w:cs="Times New Roman"/>
          <w:sz w:val="24"/>
          <w:szCs w:val="24"/>
        </w:rPr>
      </w:pPr>
      <w:r w:rsidRPr="00F760DA">
        <w:rPr>
          <w:rFonts w:ascii="Times New Roman" w:hAnsi="Times New Roman" w:cs="Times New Roman"/>
          <w:sz w:val="24"/>
          <w:szCs w:val="24"/>
        </w:rPr>
        <w:t xml:space="preserve">We investigated how attention differentially affects the choice process in the gain and loss domains by using the task depicted in Fig. </w:t>
      </w:r>
      <w:r w:rsidR="00FD1333">
        <w:rPr>
          <w:rFonts w:ascii="Times New Roman" w:hAnsi="Times New Roman" w:cs="Times New Roman"/>
          <w:sz w:val="24"/>
          <w:szCs w:val="24"/>
        </w:rPr>
        <w:t>1</w:t>
      </w:r>
      <w:r w:rsidRPr="00F760DA">
        <w:rPr>
          <w:rFonts w:ascii="Times New Roman" w:hAnsi="Times New Roman" w:cs="Times New Roman"/>
          <w:sz w:val="24"/>
          <w:szCs w:val="24"/>
        </w:rPr>
        <w:t>.</w:t>
      </w:r>
      <w:r>
        <w:rPr>
          <w:rFonts w:ascii="Times New Roman" w:hAnsi="Times New Roman" w:cs="Times New Roman"/>
          <w:sz w:val="24"/>
          <w:szCs w:val="24"/>
        </w:rPr>
        <w:t xml:space="preserve"> </w:t>
      </w:r>
      <w:r w:rsidRPr="00F760DA">
        <w:rPr>
          <w:rFonts w:ascii="Times New Roman" w:hAnsi="Times New Roman" w:cs="Times New Roman"/>
          <w:sz w:val="24"/>
          <w:szCs w:val="24"/>
        </w:rPr>
        <w:t>Subjects begin the trial by fixating on an empty screen for 1 s.</w:t>
      </w:r>
      <w:r>
        <w:rPr>
          <w:rFonts w:ascii="Times New Roman" w:hAnsi="Times New Roman" w:cs="Times New Roman"/>
          <w:sz w:val="24"/>
          <w:szCs w:val="24"/>
        </w:rPr>
        <w:t xml:space="preserve"> </w:t>
      </w:r>
      <w:r w:rsidRPr="00F760DA">
        <w:rPr>
          <w:rFonts w:ascii="Times New Roman" w:hAnsi="Times New Roman" w:cs="Times New Roman"/>
          <w:sz w:val="24"/>
          <w:szCs w:val="24"/>
        </w:rPr>
        <w:t>In the gain condition, subjects are presented with two grey circles on the left and right sides of the screen.</w:t>
      </w:r>
      <w:r>
        <w:rPr>
          <w:rFonts w:ascii="Times New Roman" w:hAnsi="Times New Roman" w:cs="Times New Roman"/>
          <w:sz w:val="24"/>
          <w:szCs w:val="24"/>
        </w:rPr>
        <w:t xml:space="preserve"> </w:t>
      </w:r>
      <w:r w:rsidRPr="00F760DA">
        <w:rPr>
          <w:rFonts w:ascii="Times New Roman" w:hAnsi="Times New Roman" w:cs="Times New Roman"/>
          <w:sz w:val="24"/>
          <w:szCs w:val="24"/>
        </w:rPr>
        <w:t>Inside each circle are 100 green or white dots.</w:t>
      </w:r>
      <w:r>
        <w:rPr>
          <w:rFonts w:ascii="Times New Roman" w:hAnsi="Times New Roman" w:cs="Times New Roman"/>
          <w:sz w:val="24"/>
          <w:szCs w:val="24"/>
        </w:rPr>
        <w:t xml:space="preserve"> </w:t>
      </w:r>
      <w:r w:rsidRPr="00F760DA">
        <w:rPr>
          <w:rFonts w:ascii="Times New Roman" w:hAnsi="Times New Roman" w:cs="Times New Roman"/>
          <w:sz w:val="24"/>
          <w:szCs w:val="24"/>
        </w:rPr>
        <w:t>The number of white dots represents the probability of receiving nothing; the number of green dots represents the probability of gaining $10.</w:t>
      </w:r>
      <w:r>
        <w:rPr>
          <w:rFonts w:ascii="Times New Roman" w:hAnsi="Times New Roman" w:cs="Times New Roman"/>
          <w:sz w:val="24"/>
          <w:szCs w:val="24"/>
        </w:rPr>
        <w:t xml:space="preserve"> </w:t>
      </w:r>
      <w:r w:rsidRPr="00F760DA">
        <w:rPr>
          <w:rFonts w:ascii="Times New Roman" w:hAnsi="Times New Roman" w:cs="Times New Roman"/>
          <w:sz w:val="24"/>
          <w:szCs w:val="24"/>
        </w:rPr>
        <w:t>Subjects are given free response time to select the lottery they prefer, and after selecting, are given 1 s of feedback about the choice they made. In the loss condition, trials are similar, except the green dots are replaced with red dots, which represent the probability of losing $10.</w:t>
      </w:r>
      <w:r>
        <w:rPr>
          <w:rFonts w:ascii="Times New Roman" w:hAnsi="Times New Roman" w:cs="Times New Roman"/>
          <w:sz w:val="24"/>
          <w:szCs w:val="24"/>
        </w:rPr>
        <w:t xml:space="preserve"> </w:t>
      </w:r>
      <w:r w:rsidRPr="00F760DA">
        <w:rPr>
          <w:rFonts w:ascii="Times New Roman" w:hAnsi="Times New Roman" w:cs="Times New Roman"/>
          <w:sz w:val="24"/>
          <w:szCs w:val="24"/>
        </w:rPr>
        <w:t>In all trials, the number of green or red dots in either option is drawn uniformly from 45 to 55.</w:t>
      </w:r>
      <w:r>
        <w:rPr>
          <w:rFonts w:ascii="Times New Roman" w:hAnsi="Times New Roman" w:cs="Times New Roman"/>
          <w:sz w:val="24"/>
          <w:szCs w:val="24"/>
        </w:rPr>
        <w:t xml:space="preserve"> </w:t>
      </w:r>
      <w:r w:rsidRPr="00F760DA">
        <w:rPr>
          <w:rFonts w:ascii="Times New Roman" w:hAnsi="Times New Roman" w:cs="Times New Roman"/>
          <w:sz w:val="24"/>
          <w:szCs w:val="24"/>
        </w:rPr>
        <w:t>The remaining dots are colored white.</w:t>
      </w:r>
      <w:r w:rsidR="005D71A9">
        <w:rPr>
          <w:rFonts w:ascii="Times New Roman" w:hAnsi="Times New Roman" w:cs="Times New Roman"/>
          <w:sz w:val="24"/>
          <w:szCs w:val="24"/>
        </w:rPr>
        <w:t xml:space="preserve"> </w:t>
      </w:r>
      <w:r w:rsidR="00E23EB3">
        <w:rPr>
          <w:rFonts w:ascii="Times New Roman" w:hAnsi="Times New Roman" w:cs="Times New Roman"/>
          <w:sz w:val="24"/>
          <w:szCs w:val="24"/>
        </w:rPr>
        <w:t>Colors are used to ensure that subjects are always fully aware of what condition they are in.</w:t>
      </w:r>
    </w:p>
    <w:p w14:paraId="643AA28C" w14:textId="7332FAB3" w:rsidR="00F760DA" w:rsidRDefault="00F760DA" w:rsidP="00A47480">
      <w:pPr>
        <w:jc w:val="both"/>
        <w:rPr>
          <w:rFonts w:ascii="Times New Roman" w:hAnsi="Times New Roman" w:cs="Times New Roman"/>
          <w:sz w:val="24"/>
          <w:szCs w:val="24"/>
        </w:rPr>
      </w:pPr>
      <w:r w:rsidRPr="00F760DA">
        <w:rPr>
          <w:rFonts w:ascii="Times New Roman" w:hAnsi="Times New Roman" w:cs="Times New Roman"/>
          <w:sz w:val="24"/>
          <w:szCs w:val="24"/>
        </w:rPr>
        <w:t>Subjects completed 400 trials in the exploratory sample, split into 2 blocks of 200 trials each.</w:t>
      </w:r>
      <w:r>
        <w:rPr>
          <w:rFonts w:ascii="Times New Roman" w:hAnsi="Times New Roman" w:cs="Times New Roman"/>
          <w:sz w:val="24"/>
          <w:szCs w:val="24"/>
        </w:rPr>
        <w:t xml:space="preserve"> </w:t>
      </w:r>
      <w:r w:rsidRPr="00F760DA">
        <w:rPr>
          <w:rFonts w:ascii="Times New Roman" w:hAnsi="Times New Roman" w:cs="Times New Roman"/>
          <w:sz w:val="24"/>
          <w:szCs w:val="24"/>
        </w:rPr>
        <w:t>1 block was in the gain condition, the other in the loss condition, randomly ordered.</w:t>
      </w:r>
    </w:p>
    <w:p w14:paraId="1CF7AE51" w14:textId="1454F6D2" w:rsidR="00FD1333" w:rsidRDefault="00090257" w:rsidP="001126D8">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6DA40F" wp14:editId="292631C2">
            <wp:extent cx="3448050" cy="214950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7593" cy="2167922"/>
                    </a:xfrm>
                    <a:prstGeom prst="rect">
                      <a:avLst/>
                    </a:prstGeom>
                    <a:noFill/>
                    <a:ln>
                      <a:noFill/>
                    </a:ln>
                  </pic:spPr>
                </pic:pic>
              </a:graphicData>
            </a:graphic>
          </wp:inline>
        </w:drawing>
      </w:r>
    </w:p>
    <w:p w14:paraId="78507096" w14:textId="0EDC2D6D" w:rsidR="001126D8" w:rsidRDefault="001126D8" w:rsidP="001126D8">
      <w:pPr>
        <w:jc w:val="center"/>
        <w:rPr>
          <w:rFonts w:ascii="Times New Roman" w:hAnsi="Times New Roman" w:cs="Times New Roman"/>
          <w:sz w:val="24"/>
          <w:szCs w:val="24"/>
        </w:rPr>
      </w:pPr>
      <w:r>
        <w:rPr>
          <w:rFonts w:ascii="Times New Roman" w:hAnsi="Times New Roman" w:cs="Times New Roman"/>
          <w:sz w:val="24"/>
          <w:szCs w:val="24"/>
        </w:rPr>
        <w:t>Fig. 1. Task</w:t>
      </w:r>
    </w:p>
    <w:p w14:paraId="36FE361C" w14:textId="77777777" w:rsidR="00361D04" w:rsidRDefault="00361D04" w:rsidP="00A47480">
      <w:pPr>
        <w:jc w:val="both"/>
        <w:rPr>
          <w:rFonts w:ascii="Times New Roman" w:hAnsi="Times New Roman" w:cs="Times New Roman"/>
          <w:sz w:val="24"/>
          <w:szCs w:val="24"/>
        </w:rPr>
      </w:pPr>
    </w:p>
    <w:p w14:paraId="1C54F416" w14:textId="48507AB2" w:rsidR="00361D04" w:rsidRPr="00404F80" w:rsidRDefault="00361D04" w:rsidP="00A47480">
      <w:pPr>
        <w:jc w:val="both"/>
        <w:rPr>
          <w:rFonts w:ascii="Times New Roman" w:hAnsi="Times New Roman" w:cs="Times New Roman"/>
          <w:sz w:val="32"/>
          <w:szCs w:val="32"/>
        </w:rPr>
      </w:pPr>
      <w:r w:rsidRPr="00404F80">
        <w:rPr>
          <w:rFonts w:ascii="Times New Roman" w:hAnsi="Times New Roman" w:cs="Times New Roman"/>
          <w:sz w:val="32"/>
          <w:szCs w:val="32"/>
        </w:rPr>
        <w:t>Participants</w:t>
      </w:r>
    </w:p>
    <w:p w14:paraId="0FA70742" w14:textId="70EA87F5" w:rsidR="00361D04" w:rsidRDefault="00361D04" w:rsidP="00A47480">
      <w:pPr>
        <w:jc w:val="both"/>
        <w:rPr>
          <w:rFonts w:ascii="Times New Roman" w:hAnsi="Times New Roman" w:cs="Times New Roman"/>
          <w:sz w:val="24"/>
          <w:szCs w:val="24"/>
        </w:rPr>
      </w:pPr>
      <w:r w:rsidRPr="00361D04">
        <w:rPr>
          <w:rFonts w:ascii="Times New Roman" w:hAnsi="Times New Roman" w:cs="Times New Roman"/>
          <w:sz w:val="24"/>
          <w:szCs w:val="24"/>
        </w:rPr>
        <w:t>70 subjects were recruited for the study (mean age = 26.4,  41 female).</w:t>
      </w:r>
      <w:r>
        <w:rPr>
          <w:rFonts w:ascii="Times New Roman" w:hAnsi="Times New Roman" w:cs="Times New Roman"/>
          <w:sz w:val="24"/>
          <w:szCs w:val="24"/>
        </w:rPr>
        <w:t xml:space="preserve"> </w:t>
      </w:r>
      <w:r w:rsidRPr="00361D04">
        <w:rPr>
          <w:rFonts w:ascii="Times New Roman" w:hAnsi="Times New Roman" w:cs="Times New Roman"/>
          <w:sz w:val="24"/>
          <w:szCs w:val="24"/>
        </w:rPr>
        <w:t>Subjects were paid a $30 participation fee.</w:t>
      </w:r>
      <w:r>
        <w:rPr>
          <w:rFonts w:ascii="Times New Roman" w:hAnsi="Times New Roman" w:cs="Times New Roman"/>
          <w:sz w:val="24"/>
          <w:szCs w:val="24"/>
        </w:rPr>
        <w:t xml:space="preserve"> </w:t>
      </w:r>
      <w:r w:rsidRPr="00361D04">
        <w:rPr>
          <w:rFonts w:ascii="Times New Roman" w:hAnsi="Times New Roman" w:cs="Times New Roman"/>
          <w:sz w:val="24"/>
          <w:szCs w:val="24"/>
        </w:rPr>
        <w:t xml:space="preserve">After the experiment was over, subjects drew a number between 1 and 200 out of an urn. </w:t>
      </w:r>
      <w:r>
        <w:rPr>
          <w:rFonts w:ascii="Times New Roman" w:hAnsi="Times New Roman" w:cs="Times New Roman"/>
          <w:sz w:val="24"/>
          <w:szCs w:val="24"/>
        </w:rPr>
        <w:t xml:space="preserve"> </w:t>
      </w:r>
      <w:r w:rsidRPr="00361D04">
        <w:rPr>
          <w:rFonts w:ascii="Times New Roman" w:hAnsi="Times New Roman" w:cs="Times New Roman"/>
          <w:sz w:val="24"/>
          <w:szCs w:val="24"/>
        </w:rPr>
        <w:t>The lotteries associated with this number in blocks 1 and 2 were played out, and subjects' total pay was adjusted according to the outcome of those lotteries.</w:t>
      </w:r>
      <w:r w:rsidR="001E534C">
        <w:rPr>
          <w:rFonts w:ascii="Times New Roman" w:hAnsi="Times New Roman" w:cs="Times New Roman"/>
          <w:sz w:val="24"/>
          <w:szCs w:val="24"/>
        </w:rPr>
        <w:t xml:space="preserve"> The number of subjects and trials per subject </w:t>
      </w:r>
      <w:r w:rsidR="000A1AB0">
        <w:rPr>
          <w:rFonts w:ascii="Times New Roman" w:hAnsi="Times New Roman" w:cs="Times New Roman"/>
          <w:sz w:val="24"/>
          <w:szCs w:val="24"/>
        </w:rPr>
        <w:t xml:space="preserve">were chosen based on similar studies that have </w:t>
      </w:r>
      <w:r w:rsidR="00CF3653">
        <w:rPr>
          <w:rFonts w:ascii="Times New Roman" w:hAnsi="Times New Roman" w:cs="Times New Roman"/>
          <w:sz w:val="24"/>
          <w:szCs w:val="24"/>
        </w:rPr>
        <w:t xml:space="preserve">shown that this </w:t>
      </w:r>
      <w:r w:rsidR="00FF231E">
        <w:rPr>
          <w:rFonts w:ascii="Times New Roman" w:hAnsi="Times New Roman" w:cs="Times New Roman"/>
          <w:sz w:val="24"/>
          <w:szCs w:val="24"/>
        </w:rPr>
        <w:t>sample size provides reliable estimates of model parameters and effect</w:t>
      </w:r>
      <w:r w:rsidR="00691054">
        <w:rPr>
          <w:rFonts w:ascii="Times New Roman" w:hAnsi="Times New Roman" w:cs="Times New Roman"/>
          <w:sz w:val="24"/>
          <w:szCs w:val="24"/>
        </w:rPr>
        <w:t>s of interest.</w:t>
      </w:r>
    </w:p>
    <w:p w14:paraId="28C695FF" w14:textId="77777777" w:rsidR="00F42A02" w:rsidRDefault="00F42A02" w:rsidP="00A47480">
      <w:pPr>
        <w:jc w:val="both"/>
        <w:rPr>
          <w:rFonts w:ascii="Times New Roman" w:hAnsi="Times New Roman" w:cs="Times New Roman"/>
          <w:sz w:val="24"/>
          <w:szCs w:val="24"/>
        </w:rPr>
      </w:pPr>
    </w:p>
    <w:p w14:paraId="59F83E03" w14:textId="7B69D05B" w:rsidR="00F42A02" w:rsidRPr="00A47480" w:rsidRDefault="00F42A02" w:rsidP="00A47480">
      <w:pPr>
        <w:jc w:val="both"/>
        <w:rPr>
          <w:rFonts w:ascii="Times New Roman" w:hAnsi="Times New Roman" w:cs="Times New Roman"/>
          <w:sz w:val="32"/>
          <w:szCs w:val="32"/>
        </w:rPr>
      </w:pPr>
      <w:r w:rsidRPr="00A47480">
        <w:rPr>
          <w:rFonts w:ascii="Times New Roman" w:hAnsi="Times New Roman" w:cs="Times New Roman"/>
          <w:sz w:val="32"/>
          <w:szCs w:val="32"/>
        </w:rPr>
        <w:t>Computational Model</w:t>
      </w:r>
    </w:p>
    <w:p w14:paraId="289E8BA0" w14:textId="4D539968" w:rsidR="00F42A02" w:rsidRPr="00F42A02" w:rsidRDefault="00F42A02" w:rsidP="00A47480">
      <w:pPr>
        <w:jc w:val="both"/>
        <w:rPr>
          <w:rFonts w:ascii="Times New Roman" w:hAnsi="Times New Roman" w:cs="Times New Roman"/>
          <w:sz w:val="24"/>
          <w:szCs w:val="24"/>
        </w:rPr>
      </w:pPr>
      <w:r w:rsidRPr="00F42A02">
        <w:rPr>
          <w:rFonts w:ascii="Times New Roman" w:hAnsi="Times New Roman" w:cs="Times New Roman"/>
          <w:sz w:val="24"/>
          <w:szCs w:val="24"/>
        </w:rPr>
        <w:t>We use a variation of the Drift-Diffusion-Model of binary choice</w:t>
      </w:r>
      <w:r w:rsidR="00B52889">
        <w:rPr>
          <w:rFonts w:ascii="Times New Roman" w:hAnsi="Times New Roman" w:cs="Times New Roman"/>
          <w:sz w:val="24"/>
          <w:szCs w:val="24"/>
        </w:rPr>
        <w:t xml:space="preserve"> </w:t>
      </w:r>
      <w:r w:rsidR="00A1667A">
        <w:rPr>
          <w:rFonts w:ascii="Times New Roman" w:hAnsi="Times New Roman" w:cs="Times New Roman"/>
          <w:sz w:val="24"/>
          <w:szCs w:val="24"/>
        </w:rPr>
        <w:fldChar w:fldCharType="begin"/>
      </w:r>
      <w:r w:rsidR="00A1667A">
        <w:rPr>
          <w:rFonts w:ascii="Times New Roman" w:hAnsi="Times New Roman" w:cs="Times New Roman"/>
          <w:sz w:val="24"/>
          <w:szCs w:val="24"/>
        </w:rPr>
        <w:instrText xml:space="preserve"> ADDIN ZOTERO_ITEM CSL_CITATION {"citationID":"GgMTXjqk","properties":{"formattedCitation":"(Mormann et al., 2010; Ratcliff et al., 2016)","plainCitation":"(Mormann et al., 2010; Ratcliff et al., 2016)","noteIndex":0},"citationItems":[{"id":37,"uris":["http://zotero.org/users/8933003/items/9CN2V2Q8"],"itemData":{"id":37,"type":"article-journal","abstract":"An important open problem is how values are compared to make simple choices. A natural hypothesis is that the brain carries out the computations associated with the value comparisons in a manner consistent with the Drift Diffusion Model (DDM), since this model has been able to account for a large amount of data in other domains. We investigated the ability of four different versions of the DDM to explain the data in a real binary food choice task under conditions of high and low time pressure. We found that a seven-parameter version of the DDM can account for the choice and reaction time data with high-accuracy, in both the high and low time pressure conditions. The changes associated with the introduction of time pressure could be traced to changes in two key model parameters: the barrier height and the noise in the slope of the drift process.","container-title":"Judgement and Decision Making","DOI":"10.2139/ssrn.1901533","ISSN":"1556-5068","issue":"6","journalAbbreviation":"SSRN Journal","language":"en","page":"437-449","source":"DOI.org (Crossref)","title":"The Drift Diffusion Model Can Account for the Accuracy and Reaction Time of Value-Based Choices Under High and Low Time Pressure","volume":"5","author":[{"family":"Mormann","given":"Milica Milosavljevic"},{"family":"Malmaud","given":"Jonathan"},{"family":"Huth","given":"Alexander"},{"family":"Koch","given":"Christof"},{"family":"Rangel","given":"Antonio"}],"issued":{"date-parts":[["2010"]]}}},{"id":182,"uris":["http://zotero.org/users/8933003/items/K3UL42XX"],"itemData":{"id":182,"type":"article-journal","container-title":"Trends in Cognitive Sciences","DOI":"10.1016/j.tics.2016.01.007","ISSN":"13646613","issue":"4","journalAbbreviation":"Trends in Cognitive Sciences","language":"en","page":"260-281","source":"DOI.org (Crossref)","title":"Diffusion Decision Model: Current Issues and History","title-short":"Diffusion Decision Model","volume":"20","author":[{"family":"Ratcliff","given":"Roger"},{"family":"Smith","given":"Philip L."},{"family":"Brown","given":"Scott D."},{"family":"McKoon","given":"Gail"}],"issued":{"date-parts":[["2016",4]]}}}],"schema":"https://github.com/citation-style-language/schema/raw/master/csl-citation.json"} </w:instrText>
      </w:r>
      <w:r w:rsidR="00A1667A">
        <w:rPr>
          <w:rFonts w:ascii="Times New Roman" w:hAnsi="Times New Roman" w:cs="Times New Roman"/>
          <w:sz w:val="24"/>
          <w:szCs w:val="24"/>
        </w:rPr>
        <w:fldChar w:fldCharType="separate"/>
      </w:r>
      <w:r w:rsidR="00A1667A" w:rsidRPr="00A1667A">
        <w:rPr>
          <w:rFonts w:ascii="Times New Roman" w:hAnsi="Times New Roman" w:cs="Times New Roman"/>
          <w:sz w:val="24"/>
        </w:rPr>
        <w:t>(Mormann et al., 2010; Ratcliff et al., 2016)</w:t>
      </w:r>
      <w:r w:rsidR="00A1667A">
        <w:rPr>
          <w:rFonts w:ascii="Times New Roman" w:hAnsi="Times New Roman" w:cs="Times New Roman"/>
          <w:sz w:val="24"/>
          <w:szCs w:val="24"/>
        </w:rPr>
        <w:fldChar w:fldCharType="end"/>
      </w:r>
      <w:r w:rsidRPr="00F42A02">
        <w:rPr>
          <w:rFonts w:ascii="Times New Roman" w:hAnsi="Times New Roman" w:cs="Times New Roman"/>
          <w:sz w:val="24"/>
          <w:szCs w:val="24"/>
        </w:rPr>
        <w:t>.</w:t>
      </w:r>
      <w:r>
        <w:rPr>
          <w:rFonts w:ascii="Times New Roman" w:hAnsi="Times New Roman" w:cs="Times New Roman"/>
          <w:sz w:val="24"/>
          <w:szCs w:val="24"/>
        </w:rPr>
        <w:t xml:space="preserve"> </w:t>
      </w:r>
      <w:r w:rsidRPr="00F42A02">
        <w:rPr>
          <w:rFonts w:ascii="Times New Roman" w:hAnsi="Times New Roman" w:cs="Times New Roman"/>
          <w:sz w:val="24"/>
          <w:szCs w:val="24"/>
        </w:rPr>
        <w:t>In particular, we use the Attentional Drift-Diffusion-Model (aDDM), where value comparison is modulated by the location of one's gaze.</w:t>
      </w:r>
      <w:r>
        <w:rPr>
          <w:rFonts w:ascii="Times New Roman" w:hAnsi="Times New Roman" w:cs="Times New Roman"/>
          <w:sz w:val="24"/>
          <w:szCs w:val="24"/>
        </w:rPr>
        <w:t xml:space="preserve"> </w:t>
      </w:r>
      <w:r w:rsidRPr="00F42A02">
        <w:rPr>
          <w:rFonts w:ascii="Times New Roman" w:hAnsi="Times New Roman" w:cs="Times New Roman"/>
          <w:sz w:val="24"/>
          <w:szCs w:val="24"/>
        </w:rPr>
        <w:t xml:space="preserve">Subjects integrate noisy value signals into an evidence accumulator that evolves over time,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F42A02">
        <w:rPr>
          <w:rFonts w:ascii="Times New Roman" w:hAnsi="Times New Roman" w:cs="Times New Roman"/>
          <w:sz w:val="24"/>
          <w:szCs w:val="24"/>
        </w:rPr>
        <w:t>.</w:t>
      </w:r>
      <w:r>
        <w:rPr>
          <w:rFonts w:ascii="Times New Roman" w:hAnsi="Times New Roman" w:cs="Times New Roman"/>
          <w:sz w:val="24"/>
          <w:szCs w:val="24"/>
        </w:rPr>
        <w:t xml:space="preserve"> </w:t>
      </w:r>
      <w:r w:rsidRPr="00F42A02">
        <w:rPr>
          <w:rFonts w:ascii="Times New Roman" w:hAnsi="Times New Roman" w:cs="Times New Roman"/>
          <w:sz w:val="24"/>
          <w:szCs w:val="24"/>
        </w:rPr>
        <w:t>Evidence starts at an initial location</w:t>
      </w:r>
      <w:r w:rsidR="001C3400">
        <w:rPr>
          <w:rFonts w:ascii="Times New Roman" w:hAnsi="Times New Roman" w:cs="Times New Roman"/>
          <w:sz w:val="24"/>
          <w:szCs w:val="24"/>
        </w:rPr>
        <w:t xml:space="preserve"> </w:t>
      </w:r>
      <m:oMath>
        <m:r>
          <w:rPr>
            <w:rFonts w:ascii="Cambria Math" w:hAnsi="Cambria Math" w:cs="Times New Roman"/>
            <w:sz w:val="24"/>
            <w:szCs w:val="24"/>
          </w:rPr>
          <m:t>b</m:t>
        </m:r>
      </m:oMath>
      <w:r w:rsidRPr="00F42A02">
        <w:rPr>
          <w:rFonts w:ascii="Times New Roman" w:hAnsi="Times New Roman" w:cs="Times New Roman"/>
          <w:sz w:val="24"/>
          <w:szCs w:val="24"/>
        </w:rPr>
        <w:t>, incorporating some bias towards one of the two options if</w:t>
      </w:r>
      <w:r w:rsidR="001C3400">
        <w:rPr>
          <w:rFonts w:ascii="Times New Roman" w:hAnsi="Times New Roman" w:cs="Times New Roman"/>
          <w:sz w:val="24"/>
          <w:szCs w:val="24"/>
        </w:rPr>
        <w:t xml:space="preserve"> </w:t>
      </w:r>
      <m:oMath>
        <m:r>
          <w:rPr>
            <w:rFonts w:ascii="Cambria Math" w:hAnsi="Cambria Math" w:cs="Times New Roman"/>
            <w:sz w:val="24"/>
            <w:szCs w:val="24"/>
          </w:rPr>
          <m:t>b≠0</m:t>
        </m:r>
      </m:oMath>
      <w:r w:rsidRPr="00F42A02">
        <w:rPr>
          <w:rFonts w:ascii="Times New Roman" w:hAnsi="Times New Roman" w:cs="Times New Roman"/>
          <w:sz w:val="24"/>
          <w:szCs w:val="24"/>
        </w:rPr>
        <w:t>.</w:t>
      </w:r>
    </w:p>
    <w:p w14:paraId="655F409B" w14:textId="4A6B45B7" w:rsidR="00F42A02" w:rsidRPr="00F42A02" w:rsidRDefault="00F42A02" w:rsidP="00A47480">
      <w:pPr>
        <w:jc w:val="both"/>
        <w:rPr>
          <w:rFonts w:ascii="Times New Roman" w:hAnsi="Times New Roman" w:cs="Times New Roman"/>
          <w:sz w:val="24"/>
          <w:szCs w:val="24"/>
        </w:rPr>
      </w:pPr>
      <w:r w:rsidRPr="00F42A02">
        <w:rPr>
          <w:rFonts w:ascii="Times New Roman" w:hAnsi="Times New Roman" w:cs="Times New Roman"/>
          <w:sz w:val="24"/>
          <w:szCs w:val="24"/>
        </w:rPr>
        <w:t xml:space="preserve">Once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w:r w:rsidRPr="00F42A02">
        <w:rPr>
          <w:rFonts w:ascii="Times New Roman" w:hAnsi="Times New Roman" w:cs="Times New Roman"/>
          <w:sz w:val="24"/>
          <w:szCs w:val="24"/>
        </w:rPr>
        <w:t xml:space="preserve"> crosses one of two pre-specified boundaries (</w:t>
      </w:r>
      <m:oMath>
        <m:r>
          <w:rPr>
            <w:rFonts w:ascii="Cambria Math" w:hAnsi="Cambria Math" w:cs="Times New Roman"/>
            <w:sz w:val="24"/>
            <w:szCs w:val="24"/>
          </w:rPr>
          <m:t>±1</m:t>
        </m:r>
      </m:oMath>
      <w:r w:rsidRPr="00F42A02">
        <w:rPr>
          <w:rFonts w:ascii="Times New Roman" w:hAnsi="Times New Roman" w:cs="Times New Roman"/>
          <w:sz w:val="24"/>
          <w:szCs w:val="24"/>
        </w:rPr>
        <w:t>), a choice is made based on the identity of the boundary (</w:t>
      </w:r>
      <w:r w:rsidR="003D4A07" w:rsidRPr="00F42A02">
        <w:rPr>
          <w:rFonts w:ascii="Times New Roman" w:hAnsi="Times New Roman" w:cs="Times New Roman"/>
          <w:sz w:val="24"/>
          <w:szCs w:val="24"/>
        </w:rPr>
        <w:t>e.g.,</w:t>
      </w:r>
      <w:r w:rsidRPr="00F42A02">
        <w:rPr>
          <w:rFonts w:ascii="Times New Roman" w:hAnsi="Times New Roman" w:cs="Times New Roman"/>
          <w:sz w:val="24"/>
          <w:szCs w:val="24"/>
        </w:rPr>
        <w:t xml:space="preserve"> hitting upper boundary indicates a choice for left option). The evolution of evidence looks like the following diffusion process:</w:t>
      </w:r>
    </w:p>
    <w:p w14:paraId="43A74AB5" w14:textId="3BB00333" w:rsidR="00F42A02" w:rsidRPr="00F42A02" w:rsidRDefault="00C51C79" w:rsidP="00A47480">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m:oMathPara>
    </w:p>
    <w:p w14:paraId="1EBBEBCE" w14:textId="69EB84F5" w:rsidR="004406B1" w:rsidRDefault="00F42A02" w:rsidP="00A47480">
      <w:pPr>
        <w:jc w:val="both"/>
        <w:rPr>
          <w:rFonts w:ascii="Times New Roman" w:hAnsi="Times New Roman" w:cs="Times New Roman"/>
          <w:sz w:val="24"/>
          <w:szCs w:val="24"/>
        </w:rPr>
      </w:pPr>
      <w:r w:rsidRPr="00F42A02">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t</m:t>
            </m:r>
          </m:sub>
        </m:sSub>
      </m:oMath>
      <w:r w:rsidRPr="00F42A02">
        <w:rPr>
          <w:rFonts w:ascii="Times New Roman" w:hAnsi="Times New Roman" w:cs="Times New Roman"/>
          <w:sz w:val="24"/>
          <w:szCs w:val="24"/>
        </w:rPr>
        <w:t xml:space="preserve"> is Gaussian white noise with variance</w:t>
      </w:r>
      <m:oMath>
        <m:r>
          <w:rPr>
            <w:rFonts w:ascii="Cambria Math" w:eastAsiaTheme="minorEastAsia"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σ</m:t>
            </m:r>
            <m:ctrlPr>
              <w:rPr>
                <w:rFonts w:ascii="Cambria Math" w:eastAsiaTheme="minorEastAsia" w:hAnsi="Cambria Math" w:cs="Times New Roman"/>
                <w:i/>
                <w:sz w:val="24"/>
                <w:szCs w:val="24"/>
              </w:rPr>
            </m:ctrlPr>
          </m:e>
          <m:sup>
            <m:r>
              <w:rPr>
                <w:rFonts w:ascii="Cambria Math" w:hAnsi="Cambria Math" w:cs="Times New Roman"/>
                <w:sz w:val="24"/>
                <w:szCs w:val="24"/>
              </w:rPr>
              <m:t>2</m:t>
            </m:r>
          </m:sup>
        </m:sSup>
      </m:oMath>
      <w:r w:rsidRPr="00F42A02">
        <w:rPr>
          <w:rFonts w:ascii="Times New Roman" w:hAnsi="Times New Roman" w:cs="Times New Roman"/>
          <w:sz w:val="24"/>
          <w:szCs w:val="24"/>
        </w:rPr>
        <w:t>.</w:t>
      </w:r>
      <w:r>
        <w:rPr>
          <w:rFonts w:ascii="Times New Roman" w:hAnsi="Times New Roman" w:cs="Times New Roman"/>
          <w:sz w:val="24"/>
          <w:szCs w:val="24"/>
        </w:rPr>
        <w:t xml:space="preserve"> </w:t>
      </w:r>
      <w:r w:rsidRPr="00F42A02">
        <w:rPr>
          <w:rFonts w:ascii="Times New Roman" w:hAnsi="Times New Roman" w:cs="Times New Roman"/>
          <w:sz w:val="24"/>
          <w:szCs w:val="24"/>
        </w:rPr>
        <w:t>The drift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sidRPr="00F42A02">
        <w:rPr>
          <w:rFonts w:ascii="Times New Roman" w:hAnsi="Times New Roman" w:cs="Times New Roman"/>
          <w:sz w:val="24"/>
          <w:szCs w:val="24"/>
        </w:rPr>
        <w:t>) in the diffusion process depends on fixation location.</w:t>
      </w:r>
      <w:r>
        <w:rPr>
          <w:rFonts w:ascii="Times New Roman" w:hAnsi="Times New Roman" w:cs="Times New Roman"/>
          <w:sz w:val="24"/>
          <w:szCs w:val="24"/>
        </w:rPr>
        <w:t xml:space="preserve"> </w:t>
      </w:r>
      <w:r w:rsidRPr="00F42A02">
        <w:rPr>
          <w:rFonts w:ascii="Times New Roman" w:hAnsi="Times New Roman" w:cs="Times New Roman"/>
          <w:sz w:val="24"/>
          <w:szCs w:val="24"/>
        </w:rPr>
        <w:t>If the subject is looking left at time</w:t>
      </w:r>
      <w:r w:rsidR="005F2791">
        <w:rPr>
          <w:rFonts w:ascii="Times New Roman" w:hAnsi="Times New Roman" w:cs="Times New Roman"/>
          <w:sz w:val="24"/>
          <w:szCs w:val="24"/>
        </w:rPr>
        <w:t xml:space="preserve"> </w:t>
      </w:r>
      <m:oMath>
        <m:r>
          <w:rPr>
            <w:rFonts w:ascii="Cambria Math" w:hAnsi="Cambria Math" w:cs="Times New Roman"/>
            <w:sz w:val="24"/>
            <w:szCs w:val="24"/>
          </w:rPr>
          <m:t>t</m:t>
        </m:r>
      </m:oMath>
      <w:r w:rsidRPr="00F42A02">
        <w:rPr>
          <w:rFonts w:ascii="Times New Roman"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r>
          <w:rPr>
            <w:rFonts w:ascii="Cambria Math" w:hAnsi="Cambria Math" w:cs="Times New Roman"/>
            <w:sz w:val="24"/>
            <w:szCs w:val="24"/>
          </w:rPr>
          <m:t>= d</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e>
        </m:d>
      </m:oMath>
      <w:r w:rsidRPr="00F42A02">
        <w:rPr>
          <w:rFonts w:ascii="Times New Roman" w:hAnsi="Times New Roman" w:cs="Times New Roman"/>
          <w:sz w:val="24"/>
          <w:szCs w:val="24"/>
        </w:rPr>
        <w:t xml:space="preserve">, where </w:t>
      </w:r>
      <m:oMath>
        <m:r>
          <w:rPr>
            <w:rFonts w:ascii="Cambria Math" w:hAnsi="Cambria Math" w:cs="Times New Roman"/>
            <w:sz w:val="24"/>
            <w:szCs w:val="24"/>
          </w:rPr>
          <m:t>d</m:t>
        </m:r>
      </m:oMath>
      <w:r w:rsidRPr="00F42A02">
        <w:rPr>
          <w:rFonts w:ascii="Times New Roman" w:hAnsi="Times New Roman" w:cs="Times New Roman"/>
          <w:sz w:val="24"/>
          <w:szCs w:val="24"/>
        </w:rPr>
        <w:t xml:space="preserve"> is the drift rate parameter controlling the speed of integration,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Pr="00F42A02">
        <w:rPr>
          <w:rFonts w:ascii="Times New Roman" w:hAnsi="Times New Roman" w:cs="Times New Roman"/>
          <w:sz w:val="24"/>
          <w:szCs w:val="24"/>
        </w:rPr>
        <w:t xml:space="preserve"> is the value of option</w:t>
      </w:r>
      <w:r w:rsidR="00E43EC1">
        <w:rPr>
          <w:rFonts w:ascii="Times New Roman" w:hAnsi="Times New Roman" w:cs="Times New Roman"/>
          <w:sz w:val="24"/>
          <w:szCs w:val="24"/>
        </w:rPr>
        <w:t xml:space="preserve"> </w:t>
      </w:r>
      <m:oMath>
        <m:r>
          <w:rPr>
            <w:rFonts w:ascii="Cambria Math" w:hAnsi="Cambria Math" w:cs="Times New Roman"/>
            <w:sz w:val="24"/>
            <w:szCs w:val="24"/>
          </w:rPr>
          <m:t>i</m:t>
        </m:r>
      </m:oMath>
      <w:r w:rsidRPr="00F42A02">
        <w:rPr>
          <w:rFonts w:ascii="Times New Roman" w:hAnsi="Times New Roman" w:cs="Times New Roman"/>
          <w:sz w:val="24"/>
          <w:szCs w:val="24"/>
        </w:rPr>
        <w:t xml:space="preserve">, and </w:t>
      </w:r>
      <m:oMath>
        <m:r>
          <w:rPr>
            <w:rFonts w:ascii="Cambria Math" w:hAnsi="Cambria Math" w:cs="Times New Roman"/>
            <w:sz w:val="24"/>
            <w:szCs w:val="24"/>
          </w:rPr>
          <m:t>θ</m:t>
        </m:r>
      </m:oMath>
      <w:r w:rsidR="00E43EC1">
        <w:rPr>
          <w:rFonts w:ascii="Times New Roman" w:eastAsiaTheme="minorEastAsia" w:hAnsi="Times New Roman" w:cs="Times New Roman"/>
          <w:sz w:val="24"/>
          <w:szCs w:val="24"/>
        </w:rPr>
        <w:t xml:space="preserve"> </w:t>
      </w:r>
      <w:r w:rsidRPr="00F42A02">
        <w:rPr>
          <w:rFonts w:ascii="Times New Roman" w:hAnsi="Times New Roman" w:cs="Times New Roman"/>
          <w:sz w:val="24"/>
          <w:szCs w:val="24"/>
        </w:rPr>
        <w:t xml:space="preserve">is an attentional </w:t>
      </w:r>
      <w:r w:rsidR="00962D7B">
        <w:rPr>
          <w:rFonts w:ascii="Times New Roman" w:hAnsi="Times New Roman" w:cs="Times New Roman"/>
          <w:sz w:val="24"/>
          <w:szCs w:val="24"/>
        </w:rPr>
        <w:t>bias</w:t>
      </w:r>
      <w:r w:rsidRPr="00F42A02">
        <w:rPr>
          <w:rFonts w:ascii="Times New Roman" w:hAnsi="Times New Roman" w:cs="Times New Roman"/>
          <w:sz w:val="24"/>
          <w:szCs w:val="24"/>
        </w:rPr>
        <w:t xml:space="preserve"> parameter that</w:t>
      </w:r>
      <w:r w:rsidR="00962D7B">
        <w:rPr>
          <w:rFonts w:ascii="Times New Roman" w:hAnsi="Times New Roman" w:cs="Times New Roman"/>
          <w:sz w:val="24"/>
          <w:szCs w:val="24"/>
        </w:rPr>
        <w:t xml:space="preserve"> </w:t>
      </w:r>
      <w:r w:rsidR="0049116A">
        <w:rPr>
          <w:rFonts w:ascii="Times New Roman" w:hAnsi="Times New Roman" w:cs="Times New Roman"/>
          <w:sz w:val="24"/>
          <w:szCs w:val="24"/>
        </w:rPr>
        <w:t>changes the relative weighting of fixated and nonfixated options</w:t>
      </w:r>
      <w:r w:rsidRPr="00F42A02">
        <w:rPr>
          <w:rFonts w:ascii="Times New Roman" w:hAnsi="Times New Roman" w:cs="Times New Roman"/>
          <w:sz w:val="24"/>
          <w:szCs w:val="24"/>
        </w:rPr>
        <w:t>.</w:t>
      </w:r>
      <w:r>
        <w:rPr>
          <w:rFonts w:ascii="Times New Roman" w:hAnsi="Times New Roman" w:cs="Times New Roman"/>
          <w:sz w:val="24"/>
          <w:szCs w:val="24"/>
        </w:rPr>
        <w:t xml:space="preserve"> </w:t>
      </w:r>
      <w:r w:rsidRPr="00F42A02">
        <w:rPr>
          <w:rFonts w:ascii="Times New Roman" w:hAnsi="Times New Roman" w:cs="Times New Roman"/>
          <w:sz w:val="24"/>
          <w:szCs w:val="24"/>
        </w:rPr>
        <w:t xml:space="preserve">If the subject is looking right at time </w:t>
      </w:r>
      <m:oMath>
        <m:r>
          <w:rPr>
            <w:rFonts w:ascii="Cambria Math" w:hAnsi="Cambria Math" w:cs="Times New Roman"/>
            <w:sz w:val="24"/>
            <w:szCs w:val="24"/>
          </w:rPr>
          <m:t>t</m:t>
        </m:r>
      </m:oMath>
      <w:r w:rsidRPr="00F42A02">
        <w:rPr>
          <w:rFonts w:ascii="Times New Roman" w:hAnsi="Times New Roman" w:cs="Times New Roman"/>
          <w:sz w:val="24"/>
          <w:szCs w:val="24"/>
        </w:rPr>
        <w:t>, then drift is instead</w:t>
      </w:r>
      <w:r w:rsidR="00651B4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r>
          <w:rPr>
            <w:rFonts w:ascii="Cambria Math" w:hAnsi="Cambria Math" w:cs="Times New Roman"/>
            <w:sz w:val="24"/>
            <w:szCs w:val="24"/>
          </w:rPr>
          <m:t>= d</m:t>
        </m:r>
        <m:d>
          <m:dPr>
            <m:ctrlPr>
              <w:rPr>
                <w:rFonts w:ascii="Cambria Math" w:hAnsi="Cambria Math" w:cs="Times New Roman"/>
                <w:i/>
                <w:sz w:val="24"/>
                <w:szCs w:val="24"/>
              </w:rPr>
            </m:ctrlPr>
          </m:dPr>
          <m:e>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e>
        </m:d>
      </m:oMath>
      <w:r w:rsidRPr="00F42A02">
        <w:rPr>
          <w:rFonts w:ascii="Times New Roman" w:hAnsi="Times New Roman" w:cs="Times New Roman"/>
          <w:sz w:val="24"/>
          <w:szCs w:val="24"/>
        </w:rPr>
        <w:t xml:space="preserve">. Importantly, the </w:t>
      </w:r>
      <w:r w:rsidRPr="00F42A02">
        <w:rPr>
          <w:rFonts w:ascii="Times New Roman" w:hAnsi="Times New Roman" w:cs="Times New Roman"/>
          <w:sz w:val="24"/>
          <w:szCs w:val="24"/>
        </w:rPr>
        <w:lastRenderedPageBreak/>
        <w:t>aDDM takes fixations as exogenous to the state of the decision process and is therefor</w:t>
      </w:r>
      <w:r w:rsidR="003D4A07">
        <w:rPr>
          <w:rFonts w:ascii="Times New Roman" w:hAnsi="Times New Roman" w:cs="Times New Roman"/>
          <w:sz w:val="24"/>
          <w:szCs w:val="24"/>
        </w:rPr>
        <w:t>e</w:t>
      </w:r>
      <w:r w:rsidRPr="00F42A02">
        <w:rPr>
          <w:rFonts w:ascii="Times New Roman" w:hAnsi="Times New Roman" w:cs="Times New Roman"/>
          <w:sz w:val="24"/>
          <w:szCs w:val="24"/>
        </w:rPr>
        <w:t xml:space="preserve"> agnostic to modeling fixations.</w:t>
      </w:r>
    </w:p>
    <w:p w14:paraId="7E2B738C" w14:textId="77777777" w:rsidR="001A0A2F" w:rsidRDefault="001A0A2F" w:rsidP="00A47480">
      <w:pPr>
        <w:jc w:val="both"/>
        <w:rPr>
          <w:rFonts w:ascii="Times New Roman" w:hAnsi="Times New Roman" w:cs="Times New Roman"/>
          <w:sz w:val="24"/>
          <w:szCs w:val="24"/>
        </w:rPr>
      </w:pPr>
    </w:p>
    <w:p w14:paraId="2D676671" w14:textId="539C350E" w:rsidR="00E60842" w:rsidRDefault="00C928E6" w:rsidP="00A47480">
      <w:pPr>
        <w:jc w:val="both"/>
        <w:rPr>
          <w:rFonts w:ascii="Times New Roman" w:hAnsi="Times New Roman" w:cs="Times New Roman"/>
          <w:sz w:val="36"/>
          <w:szCs w:val="36"/>
        </w:rPr>
      </w:pPr>
      <w:r w:rsidRPr="00A47480">
        <w:rPr>
          <w:rFonts w:ascii="Times New Roman" w:hAnsi="Times New Roman" w:cs="Times New Roman"/>
          <w:sz w:val="36"/>
          <w:szCs w:val="36"/>
        </w:rPr>
        <w:t>Results</w:t>
      </w:r>
    </w:p>
    <w:p w14:paraId="640D5F78" w14:textId="3AAC0E0F" w:rsidR="00A47480" w:rsidRDefault="00A47480" w:rsidP="00A47480">
      <w:pPr>
        <w:jc w:val="both"/>
        <w:rPr>
          <w:rFonts w:ascii="Times New Roman" w:hAnsi="Times New Roman" w:cs="Times New Roman"/>
          <w:sz w:val="32"/>
          <w:szCs w:val="32"/>
        </w:rPr>
      </w:pPr>
      <w:r>
        <w:rPr>
          <w:rFonts w:ascii="Times New Roman" w:hAnsi="Times New Roman" w:cs="Times New Roman"/>
          <w:sz w:val="32"/>
          <w:szCs w:val="32"/>
        </w:rPr>
        <w:t>Basic Psychometrics</w:t>
      </w:r>
    </w:p>
    <w:p w14:paraId="352D2D46" w14:textId="5E135766" w:rsidR="00A47480" w:rsidRDefault="00FC7B70" w:rsidP="00A47480">
      <w:pPr>
        <w:jc w:val="both"/>
        <w:rPr>
          <w:rFonts w:ascii="Times New Roman" w:hAnsi="Times New Roman" w:cs="Times New Roman"/>
          <w:sz w:val="24"/>
          <w:szCs w:val="24"/>
        </w:rPr>
      </w:pPr>
      <w:r w:rsidRPr="00FC7B70">
        <w:rPr>
          <w:rFonts w:ascii="Times New Roman" w:hAnsi="Times New Roman" w:cs="Times New Roman"/>
          <w:sz w:val="24"/>
          <w:szCs w:val="24"/>
        </w:rPr>
        <w:t>There were no meaningful differences in average choices, response times, or number of fixations between the two conditions.</w:t>
      </w:r>
    </w:p>
    <w:p w14:paraId="2E5991D0" w14:textId="77777777" w:rsidR="00FC7B70" w:rsidRDefault="00FC7B70" w:rsidP="00A47480">
      <w:pPr>
        <w:jc w:val="both"/>
        <w:rPr>
          <w:rFonts w:ascii="Times New Roman" w:hAnsi="Times New Roman" w:cs="Times New Roman"/>
          <w:sz w:val="24"/>
          <w:szCs w:val="24"/>
        </w:rPr>
      </w:pPr>
    </w:p>
    <w:p w14:paraId="13E1E851" w14:textId="574A212B" w:rsidR="00FC7B70" w:rsidRDefault="00FC7B70" w:rsidP="00A47480">
      <w:pPr>
        <w:jc w:val="both"/>
        <w:rPr>
          <w:rFonts w:ascii="Times New Roman" w:hAnsi="Times New Roman" w:cs="Times New Roman"/>
          <w:sz w:val="32"/>
          <w:szCs w:val="32"/>
        </w:rPr>
      </w:pPr>
      <w:r>
        <w:rPr>
          <w:rFonts w:ascii="Times New Roman" w:hAnsi="Times New Roman" w:cs="Times New Roman"/>
          <w:sz w:val="32"/>
          <w:szCs w:val="32"/>
        </w:rPr>
        <w:t>Choice Biases</w:t>
      </w:r>
    </w:p>
    <w:p w14:paraId="3121450C" w14:textId="794EDE31" w:rsidR="00FC7B70" w:rsidRDefault="00FC7B70" w:rsidP="00FC7B70">
      <w:pPr>
        <w:jc w:val="both"/>
        <w:rPr>
          <w:rFonts w:ascii="Times New Roman" w:hAnsi="Times New Roman" w:cs="Times New Roman"/>
          <w:sz w:val="24"/>
          <w:szCs w:val="24"/>
        </w:rPr>
      </w:pPr>
      <w:r w:rsidRPr="00FC7B70">
        <w:rPr>
          <w:rFonts w:ascii="Times New Roman" w:hAnsi="Times New Roman" w:cs="Times New Roman"/>
          <w:sz w:val="24"/>
          <w:szCs w:val="24"/>
        </w:rPr>
        <w:t xml:space="preserve">Consistent </w:t>
      </w:r>
      <w:r w:rsidR="00F75F65">
        <w:rPr>
          <w:rFonts w:ascii="Times New Roman" w:hAnsi="Times New Roman" w:cs="Times New Roman"/>
          <w:sz w:val="24"/>
          <w:szCs w:val="24"/>
        </w:rPr>
        <w:t xml:space="preserve">with </w:t>
      </w:r>
      <w:r w:rsidRPr="00FC7B70">
        <w:rPr>
          <w:rFonts w:ascii="Times New Roman" w:hAnsi="Times New Roman" w:cs="Times New Roman"/>
          <w:sz w:val="24"/>
          <w:szCs w:val="24"/>
        </w:rPr>
        <w:t>previous findings, we find evidence of</w:t>
      </w:r>
      <w:r w:rsidR="007C68F0">
        <w:rPr>
          <w:rFonts w:ascii="Times New Roman" w:hAnsi="Times New Roman" w:cs="Times New Roman"/>
          <w:sz w:val="24"/>
          <w:szCs w:val="24"/>
        </w:rPr>
        <w:t xml:space="preserve"> attentional over-weighting of the fixat</w:t>
      </w:r>
      <w:r w:rsidR="004644AF">
        <w:rPr>
          <w:rFonts w:ascii="Times New Roman" w:hAnsi="Times New Roman" w:cs="Times New Roman"/>
          <w:sz w:val="24"/>
          <w:szCs w:val="24"/>
        </w:rPr>
        <w:t xml:space="preserve">ed </w:t>
      </w:r>
      <w:r w:rsidR="007C68F0">
        <w:rPr>
          <w:rFonts w:ascii="Times New Roman" w:hAnsi="Times New Roman" w:cs="Times New Roman"/>
          <w:sz w:val="24"/>
          <w:szCs w:val="24"/>
        </w:rPr>
        <w:t xml:space="preserve">option in choices between gains. </w:t>
      </w:r>
      <w:r w:rsidR="00B64D9E">
        <w:rPr>
          <w:rFonts w:ascii="Times New Roman" w:hAnsi="Times New Roman" w:cs="Times New Roman"/>
          <w:sz w:val="24"/>
          <w:szCs w:val="24"/>
        </w:rPr>
        <w:t>This can be observed in Fig. 2 as</w:t>
      </w:r>
      <w:r w:rsidRPr="00FC7B70">
        <w:rPr>
          <w:rFonts w:ascii="Times New Roman" w:hAnsi="Times New Roman" w:cs="Times New Roman"/>
          <w:sz w:val="24"/>
          <w:szCs w:val="24"/>
        </w:rPr>
        <w:t xml:space="preserve"> last fixation bias (left) and net fixation bias (right) in the gain trials, shown in </w:t>
      </w:r>
      <w:r w:rsidR="004D609E">
        <w:rPr>
          <w:rFonts w:ascii="Times New Roman" w:hAnsi="Times New Roman" w:cs="Times New Roman"/>
          <w:sz w:val="24"/>
          <w:szCs w:val="24"/>
        </w:rPr>
        <w:t>gree</w:t>
      </w:r>
      <w:r w:rsidR="00483CAB">
        <w:rPr>
          <w:rFonts w:ascii="Times New Roman" w:hAnsi="Times New Roman" w:cs="Times New Roman"/>
          <w:sz w:val="24"/>
          <w:szCs w:val="24"/>
        </w:rPr>
        <w:t>n</w:t>
      </w:r>
      <w:r w:rsidRPr="00FC7B70">
        <w:rPr>
          <w:rFonts w:ascii="Times New Roman" w:hAnsi="Times New Roman" w:cs="Times New Roman"/>
          <w:sz w:val="24"/>
          <w:szCs w:val="24"/>
        </w:rPr>
        <w:t>.</w:t>
      </w:r>
      <w:r w:rsidR="00414BC9">
        <w:rPr>
          <w:rFonts w:ascii="Times New Roman" w:hAnsi="Times New Roman" w:cs="Times New Roman"/>
          <w:sz w:val="24"/>
          <w:szCs w:val="24"/>
        </w:rPr>
        <w:t xml:space="preserve"> </w:t>
      </w:r>
      <w:r w:rsidRPr="00FC7B70">
        <w:rPr>
          <w:rFonts w:ascii="Times New Roman" w:hAnsi="Times New Roman" w:cs="Times New Roman"/>
          <w:sz w:val="24"/>
          <w:szCs w:val="24"/>
        </w:rPr>
        <w:t>However, contrary to the predictions of the aDDM, we find evidence of a</w:t>
      </w:r>
      <w:r w:rsidR="00C73D21">
        <w:rPr>
          <w:rFonts w:ascii="Times New Roman" w:hAnsi="Times New Roman" w:cs="Times New Roman"/>
          <w:sz w:val="24"/>
          <w:szCs w:val="24"/>
        </w:rPr>
        <w:t xml:space="preserve">ttentional under-weighting of the value of </w:t>
      </w:r>
      <w:r w:rsidRPr="00FC7B70">
        <w:rPr>
          <w:rFonts w:ascii="Times New Roman" w:hAnsi="Times New Roman" w:cs="Times New Roman"/>
          <w:sz w:val="24"/>
          <w:szCs w:val="24"/>
        </w:rPr>
        <w:t>the fixated option in losses</w:t>
      </w:r>
      <w:r w:rsidR="00D40168">
        <w:rPr>
          <w:rFonts w:ascii="Times New Roman" w:hAnsi="Times New Roman" w:cs="Times New Roman"/>
          <w:sz w:val="24"/>
          <w:szCs w:val="24"/>
        </w:rPr>
        <w:t xml:space="preserve">, which </w:t>
      </w:r>
      <w:r w:rsidR="00532575">
        <w:rPr>
          <w:rFonts w:ascii="Times New Roman" w:hAnsi="Times New Roman" w:cs="Times New Roman"/>
          <w:sz w:val="24"/>
          <w:szCs w:val="24"/>
        </w:rPr>
        <w:t xml:space="preserve">also </w:t>
      </w:r>
      <w:r w:rsidR="00D40168">
        <w:rPr>
          <w:rFonts w:ascii="Times New Roman" w:hAnsi="Times New Roman" w:cs="Times New Roman"/>
          <w:sz w:val="24"/>
          <w:szCs w:val="24"/>
        </w:rPr>
        <w:t>results in last and net fixation biases in loss</w:t>
      </w:r>
      <w:r w:rsidR="00D84DA4">
        <w:rPr>
          <w:rFonts w:ascii="Times New Roman" w:hAnsi="Times New Roman" w:cs="Times New Roman"/>
          <w:sz w:val="24"/>
          <w:szCs w:val="24"/>
        </w:rPr>
        <w:t xml:space="preserve"> trials, shown in red.</w:t>
      </w:r>
    </w:p>
    <w:p w14:paraId="157B7542" w14:textId="77777777" w:rsidR="000C1C20" w:rsidRDefault="000C1C20" w:rsidP="00FC7B70">
      <w:pPr>
        <w:jc w:val="both"/>
        <w:rPr>
          <w:rFonts w:ascii="Times New Roman" w:hAnsi="Times New Roman" w:cs="Times New Roman"/>
          <w:sz w:val="24"/>
          <w:szCs w:val="24"/>
        </w:rPr>
      </w:pPr>
    </w:p>
    <w:p w14:paraId="60891C79" w14:textId="2561D10F" w:rsidR="00110AC1" w:rsidRDefault="002A7371" w:rsidP="002A7371">
      <w:pPr>
        <w:jc w:val="center"/>
        <w:rPr>
          <w:rFonts w:ascii="Times New Roman" w:hAnsi="Times New Roman" w:cs="Times New Roman"/>
          <w:sz w:val="24"/>
          <w:szCs w:val="24"/>
        </w:rPr>
      </w:pPr>
      <w:r>
        <w:rPr>
          <w:rFonts w:ascii="Times New Roman" w:hAnsi="Times New Roman" w:cs="Times New Roman"/>
          <w:sz w:val="24"/>
          <w:szCs w:val="24"/>
        </w:rPr>
        <w:object w:dxaOrig="6480" w:dyaOrig="4320" w14:anchorId="3C6B3A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133.5pt" o:ole="">
            <v:imagedata r:id="rId5" o:title=""/>
          </v:shape>
          <o:OLEObject Type="Embed" ProgID="Acrobat.Document.DC" ShapeID="_x0000_i1025" DrawAspect="Content" ObjectID="_1750172838" r:id="rId6"/>
        </w:object>
      </w:r>
      <w:r>
        <w:rPr>
          <w:rFonts w:ascii="Times New Roman" w:hAnsi="Times New Roman" w:cs="Times New Roman"/>
          <w:sz w:val="24"/>
          <w:szCs w:val="24"/>
        </w:rPr>
        <w:t xml:space="preserve">    </w:t>
      </w:r>
      <w:r>
        <w:rPr>
          <w:rFonts w:ascii="Times New Roman" w:hAnsi="Times New Roman" w:cs="Times New Roman"/>
          <w:sz w:val="24"/>
          <w:szCs w:val="24"/>
        </w:rPr>
        <w:object w:dxaOrig="6480" w:dyaOrig="4320" w14:anchorId="0F36382D">
          <v:shape id="_x0000_i1026" type="#_x0000_t75" style="width:201pt;height:133.5pt" o:ole="">
            <v:imagedata r:id="rId7" o:title=""/>
          </v:shape>
          <o:OLEObject Type="Embed" ProgID="Acrobat.Document.DC" ShapeID="_x0000_i1026" DrawAspect="Content" ObjectID="_1750172839" r:id="rId8"/>
        </w:object>
      </w:r>
    </w:p>
    <w:p w14:paraId="281FF336" w14:textId="094D3337" w:rsidR="002A7371" w:rsidRDefault="002A7371" w:rsidP="002A7371">
      <w:pPr>
        <w:jc w:val="center"/>
        <w:rPr>
          <w:rFonts w:ascii="Times New Roman" w:hAnsi="Times New Roman" w:cs="Times New Roman"/>
          <w:sz w:val="24"/>
          <w:szCs w:val="24"/>
        </w:rPr>
      </w:pPr>
      <w:r>
        <w:rPr>
          <w:rFonts w:ascii="Times New Roman" w:hAnsi="Times New Roman" w:cs="Times New Roman"/>
          <w:sz w:val="24"/>
          <w:szCs w:val="24"/>
        </w:rPr>
        <w:t>Fig. 2. Choice Biases</w:t>
      </w:r>
    </w:p>
    <w:p w14:paraId="5E75D548" w14:textId="77777777" w:rsidR="00414BC9" w:rsidRDefault="00414BC9" w:rsidP="00FC7B70">
      <w:pPr>
        <w:jc w:val="both"/>
        <w:rPr>
          <w:rFonts w:ascii="Times New Roman" w:hAnsi="Times New Roman" w:cs="Times New Roman"/>
          <w:sz w:val="24"/>
          <w:szCs w:val="24"/>
        </w:rPr>
      </w:pPr>
    </w:p>
    <w:p w14:paraId="0C0216CF" w14:textId="72C48ECC" w:rsidR="00414BC9" w:rsidRDefault="00414BC9" w:rsidP="00FC7B70">
      <w:pPr>
        <w:jc w:val="both"/>
        <w:rPr>
          <w:rFonts w:ascii="Times New Roman" w:hAnsi="Times New Roman" w:cs="Times New Roman"/>
          <w:sz w:val="32"/>
          <w:szCs w:val="32"/>
        </w:rPr>
      </w:pPr>
      <w:r>
        <w:rPr>
          <w:rFonts w:ascii="Times New Roman" w:hAnsi="Times New Roman" w:cs="Times New Roman"/>
          <w:sz w:val="32"/>
          <w:szCs w:val="32"/>
        </w:rPr>
        <w:t>aDDM</w:t>
      </w:r>
    </w:p>
    <w:p w14:paraId="1883C7B2" w14:textId="09EE8C85" w:rsidR="00414BC9" w:rsidRDefault="00414BC9" w:rsidP="00414BC9">
      <w:pPr>
        <w:jc w:val="both"/>
        <w:rPr>
          <w:rFonts w:ascii="Times New Roman" w:hAnsi="Times New Roman" w:cs="Times New Roman"/>
          <w:sz w:val="24"/>
          <w:szCs w:val="24"/>
        </w:rPr>
      </w:pPr>
      <w:r w:rsidRPr="00414BC9">
        <w:rPr>
          <w:rFonts w:ascii="Times New Roman" w:hAnsi="Times New Roman" w:cs="Times New Roman"/>
          <w:sz w:val="24"/>
          <w:szCs w:val="24"/>
        </w:rPr>
        <w:t xml:space="preserve">We fit the aDDM separately to each subject </w:t>
      </w:r>
      <m:oMath>
        <m:r>
          <w:rPr>
            <w:rFonts w:ascii="Cambria Math" w:hAnsi="Cambria Math" w:cs="Times New Roman"/>
            <w:sz w:val="24"/>
            <w:szCs w:val="24"/>
          </w:rPr>
          <m:t>j</m:t>
        </m:r>
      </m:oMath>
      <w:r w:rsidRPr="00414BC9">
        <w:rPr>
          <w:rFonts w:ascii="Times New Roman" w:hAnsi="Times New Roman" w:cs="Times New Roman"/>
          <w:sz w:val="24"/>
          <w:szCs w:val="24"/>
        </w:rPr>
        <w:t>, by condition</w:t>
      </w:r>
      <w:r w:rsidR="003B3B58">
        <w:rPr>
          <w:rFonts w:ascii="Times New Roman" w:hAnsi="Times New Roman" w:cs="Times New Roman"/>
          <w:sz w:val="24"/>
          <w:szCs w:val="24"/>
        </w:rPr>
        <w:t xml:space="preserve"> </w:t>
      </w:r>
      <m:oMath>
        <m:r>
          <w:rPr>
            <w:rFonts w:ascii="Cambria Math" w:hAnsi="Cambria Math" w:cs="Times New Roman"/>
            <w:sz w:val="24"/>
            <w:szCs w:val="24"/>
          </w:rPr>
          <m:t>{G,L}</m:t>
        </m:r>
      </m:oMath>
      <w:r w:rsidRPr="00414BC9">
        <w:rPr>
          <w:rFonts w:ascii="Times New Roman" w:hAnsi="Times New Roman" w:cs="Times New Roman"/>
          <w:sz w:val="24"/>
          <w:szCs w:val="24"/>
        </w:rPr>
        <w:t xml:space="preserve">, and compare estimates across the two conditions (see Fig. </w:t>
      </w:r>
      <w:r w:rsidR="003B3B58">
        <w:rPr>
          <w:rFonts w:ascii="Times New Roman" w:hAnsi="Times New Roman" w:cs="Times New Roman"/>
          <w:sz w:val="24"/>
          <w:szCs w:val="24"/>
        </w:rPr>
        <w:t>3</w:t>
      </w:r>
      <w:r w:rsidRPr="00414BC9">
        <w:rPr>
          <w:rFonts w:ascii="Times New Roman" w:hAnsi="Times New Roman" w:cs="Times New Roman"/>
          <w:sz w:val="24"/>
          <w:szCs w:val="24"/>
        </w:rPr>
        <w:t>).</w:t>
      </w:r>
      <w:r w:rsidR="003B3B58">
        <w:rPr>
          <w:rFonts w:ascii="Times New Roman" w:hAnsi="Times New Roman" w:cs="Times New Roman"/>
          <w:sz w:val="24"/>
          <w:szCs w:val="24"/>
        </w:rPr>
        <w:t xml:space="preserve"> </w:t>
      </w:r>
      <w:r w:rsidR="00846D65">
        <w:rPr>
          <w:rFonts w:ascii="Times New Roman" w:hAnsi="Times New Roman" w:cs="Times New Roman"/>
          <w:sz w:val="24"/>
          <w:szCs w:val="24"/>
        </w:rPr>
        <w: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σ</m:t>
                </m:r>
              </m:e>
            </m:acc>
          </m:e>
          <m:sub>
            <m:r>
              <w:rPr>
                <w:rFonts w:ascii="Cambria Math" w:hAnsi="Cambria Math" w:cs="Times New Roman"/>
                <w:sz w:val="24"/>
                <w:szCs w:val="24"/>
              </w:rPr>
              <m:t>j</m:t>
            </m:r>
          </m:sub>
        </m:sSub>
      </m:oMath>
      <w:r w:rsidR="00846D65">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j</m:t>
            </m:r>
          </m:sub>
        </m:sSub>
      </m:oMath>
      <w:r w:rsidR="00846D65">
        <w:rPr>
          <w:rFonts w:ascii="Times New Roman" w:eastAsiaTheme="minorEastAsia" w:hAnsi="Times New Roman" w:cs="Times New Roman"/>
          <w:sz w:val="24"/>
          <w:szCs w:val="24"/>
        </w:rPr>
        <w:t xml:space="preserve"> </w:t>
      </w:r>
      <w:r w:rsidRPr="00414BC9">
        <w:rPr>
          <w:rFonts w:ascii="Times New Roman" w:hAnsi="Times New Roman" w:cs="Times New Roman"/>
          <w:sz w:val="24"/>
          <w:szCs w:val="24"/>
        </w:rPr>
        <w:t xml:space="preserve">remain consistent across the two conditions, while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d</m:t>
                </m:r>
              </m:e>
            </m:acc>
          </m:e>
          <m:sub>
            <m:r>
              <w:rPr>
                <w:rFonts w:ascii="Cambria Math" w:hAnsi="Cambria Math" w:cs="Times New Roman"/>
                <w:sz w:val="24"/>
                <w:szCs w:val="24"/>
              </w:rPr>
              <m:t>j</m:t>
            </m:r>
          </m:sub>
          <m:sup>
            <m:r>
              <w:rPr>
                <w:rFonts w:ascii="Cambria Math" w:hAnsi="Cambria Math" w:cs="Times New Roman"/>
                <w:sz w:val="24"/>
                <w:szCs w:val="24"/>
              </w:rPr>
              <m:t>G</m:t>
            </m:r>
          </m:sup>
        </m:sSubSup>
        <m:r>
          <w:rPr>
            <w:rFonts w:ascii="Cambria Math" w:hAnsi="Cambria Math" w:cs="Times New Roman"/>
            <w:sz w:val="24"/>
            <w:szCs w:val="24"/>
          </w:rPr>
          <m:t>&gt;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d</m:t>
                </m:r>
              </m:e>
            </m:acc>
          </m:e>
          <m:sub>
            <m:r>
              <w:rPr>
                <w:rFonts w:ascii="Cambria Math" w:hAnsi="Cambria Math" w:cs="Times New Roman"/>
                <w:sz w:val="24"/>
                <w:szCs w:val="24"/>
              </w:rPr>
              <m:t>j</m:t>
            </m:r>
          </m:sub>
          <m:sup>
            <m:r>
              <w:rPr>
                <w:rFonts w:ascii="Cambria Math" w:hAnsi="Cambria Math" w:cs="Times New Roman"/>
                <w:sz w:val="24"/>
                <w:szCs w:val="24"/>
              </w:rPr>
              <m:t>L</m:t>
            </m:r>
          </m:sup>
        </m:sSubSup>
      </m:oMath>
      <w:r w:rsidR="00876086">
        <w:rPr>
          <w:rFonts w:ascii="Times New Roman" w:hAnsi="Times New Roman" w:cs="Times New Roman"/>
          <w:sz w:val="24"/>
          <w:szCs w:val="24"/>
        </w:rPr>
        <w:t xml:space="preserve"> </w:t>
      </w:r>
      <w:r w:rsidRPr="00414BC9">
        <w:rPr>
          <w:rFonts w:ascii="Times New Roman" w:hAnsi="Times New Roman" w:cs="Times New Roman"/>
          <w:sz w:val="24"/>
          <w:szCs w:val="24"/>
        </w:rPr>
        <w:t>for some subjects. Crucially, we find that</w:t>
      </w:r>
      <w:r w:rsidR="00040B9A">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j</m:t>
            </m:r>
          </m:sub>
          <m:sup>
            <m:r>
              <w:rPr>
                <w:rFonts w:ascii="Cambria Math" w:hAnsi="Cambria Math" w:cs="Times New Roman"/>
                <w:sz w:val="24"/>
                <w:szCs w:val="24"/>
              </w:rPr>
              <m:t>G</m:t>
            </m:r>
          </m:sup>
        </m:sSubSup>
        <m:r>
          <w:rPr>
            <w:rFonts w:ascii="Cambria Math" w:hAnsi="Cambria Math" w:cs="Times New Roman"/>
            <w:sz w:val="24"/>
            <w:szCs w:val="24"/>
          </w:rPr>
          <m:t>&lt;1</m:t>
        </m:r>
      </m:oMath>
      <w:r w:rsidR="00040B9A">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θ</m:t>
                </m:r>
              </m:e>
            </m:acc>
          </m:e>
          <m:sub>
            <m:r>
              <w:rPr>
                <w:rFonts w:ascii="Cambria Math" w:hAnsi="Cambria Math" w:cs="Times New Roman"/>
                <w:sz w:val="24"/>
                <w:szCs w:val="24"/>
              </w:rPr>
              <m:t>j</m:t>
            </m:r>
          </m:sub>
          <m:sup>
            <m:r>
              <w:rPr>
                <w:rFonts w:ascii="Cambria Math" w:hAnsi="Cambria Math" w:cs="Times New Roman"/>
                <w:sz w:val="24"/>
                <w:szCs w:val="24"/>
              </w:rPr>
              <m:t>L</m:t>
            </m:r>
          </m:sup>
        </m:sSubSup>
        <m:r>
          <w:rPr>
            <w:rFonts w:ascii="Cambria Math" w:eastAsiaTheme="minorEastAsia" w:hAnsi="Cambria Math" w:cs="Times New Roman"/>
            <w:sz w:val="24"/>
            <w:szCs w:val="24"/>
          </w:rPr>
          <m:t>&gt;1</m:t>
        </m:r>
      </m:oMath>
      <w:r w:rsidRPr="00414BC9">
        <w:rPr>
          <w:rFonts w:ascii="Times New Roman" w:hAnsi="Times New Roman" w:cs="Times New Roman"/>
          <w:sz w:val="24"/>
          <w:szCs w:val="24"/>
        </w:rPr>
        <w:t xml:space="preserve"> for most subjects, meaning that the value of the </w:t>
      </w:r>
      <w:r w:rsidR="004D5F9B">
        <w:rPr>
          <w:rFonts w:ascii="Times New Roman" w:hAnsi="Times New Roman" w:cs="Times New Roman"/>
          <w:sz w:val="24"/>
          <w:szCs w:val="24"/>
        </w:rPr>
        <w:t>fixated option is over-weighted in gains and under-weighted in losses</w:t>
      </w:r>
      <w:r w:rsidRPr="00414BC9">
        <w:rPr>
          <w:rFonts w:ascii="Times New Roman" w:hAnsi="Times New Roman" w:cs="Times New Roman"/>
          <w:sz w:val="24"/>
          <w:szCs w:val="24"/>
        </w:rPr>
        <w:t>.</w:t>
      </w:r>
    </w:p>
    <w:p w14:paraId="432ABC4E" w14:textId="77777777" w:rsidR="000D55AF" w:rsidRDefault="000D55AF" w:rsidP="00414BC9">
      <w:pPr>
        <w:jc w:val="both"/>
        <w:rPr>
          <w:rFonts w:ascii="Times New Roman" w:hAnsi="Times New Roman" w:cs="Times New Roman"/>
          <w:sz w:val="24"/>
          <w:szCs w:val="24"/>
        </w:rPr>
      </w:pPr>
    </w:p>
    <w:p w14:paraId="226C29B3" w14:textId="0AAAAA62" w:rsidR="000D55AF" w:rsidRDefault="001C1BC2" w:rsidP="000D55AF">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9C1549" wp14:editId="4C218D9F">
            <wp:extent cx="3840480" cy="237034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0480" cy="2370348"/>
                    </a:xfrm>
                    <a:prstGeom prst="rect">
                      <a:avLst/>
                    </a:prstGeom>
                    <a:noFill/>
                    <a:ln>
                      <a:noFill/>
                    </a:ln>
                  </pic:spPr>
                </pic:pic>
              </a:graphicData>
            </a:graphic>
          </wp:inline>
        </w:drawing>
      </w:r>
    </w:p>
    <w:p w14:paraId="05EBAF39" w14:textId="71B26D5D" w:rsidR="001C1BC2" w:rsidRDefault="001C1BC2" w:rsidP="000D55AF">
      <w:pPr>
        <w:jc w:val="center"/>
        <w:rPr>
          <w:rFonts w:ascii="Times New Roman" w:hAnsi="Times New Roman" w:cs="Times New Roman"/>
          <w:sz w:val="24"/>
          <w:szCs w:val="24"/>
        </w:rPr>
      </w:pPr>
      <w:r>
        <w:rPr>
          <w:rFonts w:ascii="Times New Roman" w:hAnsi="Times New Roman" w:cs="Times New Roman"/>
          <w:sz w:val="24"/>
          <w:szCs w:val="24"/>
        </w:rPr>
        <w:t>Fig. 3. Comparison of Individuals’</w:t>
      </w:r>
      <w:r w:rsidR="005E7724">
        <w:rPr>
          <w:rFonts w:ascii="Times New Roman" w:hAnsi="Times New Roman" w:cs="Times New Roman"/>
          <w:sz w:val="24"/>
          <w:szCs w:val="24"/>
        </w:rPr>
        <w:t xml:space="preserve"> Parameter</w:t>
      </w:r>
      <w:r>
        <w:rPr>
          <w:rFonts w:ascii="Times New Roman" w:hAnsi="Times New Roman" w:cs="Times New Roman"/>
          <w:sz w:val="24"/>
          <w:szCs w:val="24"/>
        </w:rPr>
        <w:t xml:space="preserve"> Estimates</w:t>
      </w:r>
    </w:p>
    <w:p w14:paraId="557461EF" w14:textId="77777777" w:rsidR="00414BC9" w:rsidRDefault="00414BC9" w:rsidP="00414BC9">
      <w:pPr>
        <w:jc w:val="both"/>
        <w:rPr>
          <w:rFonts w:ascii="Times New Roman" w:hAnsi="Times New Roman" w:cs="Times New Roman"/>
          <w:sz w:val="24"/>
          <w:szCs w:val="24"/>
        </w:rPr>
      </w:pPr>
    </w:p>
    <w:p w14:paraId="16CB44EB" w14:textId="512E2385" w:rsidR="00414BC9" w:rsidRDefault="00414BC9" w:rsidP="00414BC9">
      <w:pPr>
        <w:jc w:val="both"/>
        <w:rPr>
          <w:rFonts w:ascii="Times New Roman" w:hAnsi="Times New Roman" w:cs="Times New Roman"/>
          <w:sz w:val="36"/>
          <w:szCs w:val="36"/>
        </w:rPr>
      </w:pPr>
      <w:r>
        <w:rPr>
          <w:rFonts w:ascii="Times New Roman" w:hAnsi="Times New Roman" w:cs="Times New Roman"/>
          <w:sz w:val="36"/>
          <w:szCs w:val="36"/>
        </w:rPr>
        <w:t>Discussion</w:t>
      </w:r>
    </w:p>
    <w:p w14:paraId="2EEB949A" w14:textId="3073A63E" w:rsidR="00701580" w:rsidRDefault="00701580" w:rsidP="00701580">
      <w:pPr>
        <w:jc w:val="both"/>
        <w:rPr>
          <w:rFonts w:ascii="Times New Roman" w:hAnsi="Times New Roman" w:cs="Times New Roman"/>
          <w:sz w:val="24"/>
          <w:szCs w:val="24"/>
        </w:rPr>
      </w:pPr>
      <w:r w:rsidRPr="00701580">
        <w:rPr>
          <w:rFonts w:ascii="Times New Roman" w:hAnsi="Times New Roman" w:cs="Times New Roman"/>
          <w:sz w:val="24"/>
          <w:szCs w:val="24"/>
        </w:rPr>
        <w:t>Contrary to the predictions of the aDDM, we found attentional</w:t>
      </w:r>
      <w:r w:rsidR="00FD70E7">
        <w:rPr>
          <w:rFonts w:ascii="Times New Roman" w:hAnsi="Times New Roman" w:cs="Times New Roman"/>
          <w:sz w:val="24"/>
          <w:szCs w:val="24"/>
        </w:rPr>
        <w:t xml:space="preserve"> </w:t>
      </w:r>
      <w:r w:rsidR="00202F92">
        <w:rPr>
          <w:rFonts w:ascii="Times New Roman" w:hAnsi="Times New Roman" w:cs="Times New Roman"/>
          <w:sz w:val="24"/>
          <w:szCs w:val="24"/>
        </w:rPr>
        <w:t>under-weighting of the fixated option in losses and attentional over-weighting in gains</w:t>
      </w:r>
      <w:r w:rsidRPr="00701580">
        <w:rPr>
          <w:rFonts w:ascii="Times New Roman" w:hAnsi="Times New Roman" w:cs="Times New Roman"/>
          <w:sz w:val="24"/>
          <w:szCs w:val="24"/>
        </w:rPr>
        <w:t>.</w:t>
      </w:r>
      <w:r>
        <w:rPr>
          <w:rFonts w:ascii="Times New Roman" w:hAnsi="Times New Roman" w:cs="Times New Roman"/>
          <w:sz w:val="24"/>
          <w:szCs w:val="24"/>
        </w:rPr>
        <w:t xml:space="preserve"> </w:t>
      </w:r>
      <w:r w:rsidRPr="00701580">
        <w:rPr>
          <w:rFonts w:ascii="Times New Roman" w:hAnsi="Times New Roman" w:cs="Times New Roman"/>
          <w:sz w:val="24"/>
          <w:szCs w:val="24"/>
        </w:rPr>
        <w:t xml:space="preserve">That being said, choices and response times can be captured by an aDDM using a non-constant attentional </w:t>
      </w:r>
      <w:r w:rsidR="00D97FA3">
        <w:rPr>
          <w:rFonts w:ascii="Times New Roman" w:hAnsi="Times New Roman" w:cs="Times New Roman"/>
          <w:sz w:val="24"/>
          <w:szCs w:val="24"/>
        </w:rPr>
        <w:t>bias</w:t>
      </w:r>
      <w:r w:rsidRPr="00701580">
        <w:rPr>
          <w:rFonts w:ascii="Times New Roman" w:hAnsi="Times New Roman" w:cs="Times New Roman"/>
          <w:sz w:val="24"/>
          <w:szCs w:val="24"/>
        </w:rPr>
        <w:t xml:space="preserve"> parameter</w:t>
      </w:r>
      <w:r w:rsidR="00CB49A1">
        <w:rPr>
          <w:rFonts w:ascii="Times New Roman" w:hAnsi="Times New Roman" w:cs="Times New Roman"/>
          <w:sz w:val="24"/>
          <w:szCs w:val="24"/>
        </w:rPr>
        <w:t>.</w:t>
      </w:r>
    </w:p>
    <w:p w14:paraId="215C4605" w14:textId="28706CB2" w:rsidR="0068204E" w:rsidRPr="00701580" w:rsidRDefault="0068204E" w:rsidP="00701580">
      <w:pPr>
        <w:jc w:val="both"/>
        <w:rPr>
          <w:rFonts w:ascii="Times New Roman" w:hAnsi="Times New Roman" w:cs="Times New Roman"/>
          <w:sz w:val="24"/>
          <w:szCs w:val="24"/>
        </w:rPr>
      </w:pPr>
      <w:r>
        <w:rPr>
          <w:rFonts w:ascii="Times New Roman" w:hAnsi="Times New Roman" w:cs="Times New Roman"/>
          <w:sz w:val="24"/>
          <w:szCs w:val="24"/>
        </w:rPr>
        <w:t>These result</w:t>
      </w:r>
      <w:r w:rsidR="00E86431">
        <w:rPr>
          <w:rFonts w:ascii="Times New Roman" w:hAnsi="Times New Roman" w:cs="Times New Roman"/>
          <w:sz w:val="24"/>
          <w:szCs w:val="24"/>
        </w:rPr>
        <w:t xml:space="preserve">s suggest that </w:t>
      </w:r>
      <w:r w:rsidR="003D6D34">
        <w:rPr>
          <w:rFonts w:ascii="Times New Roman" w:hAnsi="Times New Roman" w:cs="Times New Roman"/>
          <w:sz w:val="24"/>
          <w:szCs w:val="24"/>
        </w:rPr>
        <w:t>consumers</w:t>
      </w:r>
      <w:r w:rsidR="00F60B80">
        <w:rPr>
          <w:rFonts w:ascii="Times New Roman" w:hAnsi="Times New Roman" w:cs="Times New Roman"/>
          <w:sz w:val="24"/>
          <w:szCs w:val="24"/>
        </w:rPr>
        <w:t xml:space="preserve"> </w:t>
      </w:r>
      <w:r w:rsidR="00B63D69">
        <w:rPr>
          <w:rFonts w:ascii="Times New Roman" w:hAnsi="Times New Roman" w:cs="Times New Roman"/>
          <w:sz w:val="24"/>
          <w:szCs w:val="24"/>
        </w:rPr>
        <w:t>may be</w:t>
      </w:r>
      <w:r w:rsidR="00756C1A">
        <w:rPr>
          <w:rFonts w:ascii="Times New Roman" w:hAnsi="Times New Roman" w:cs="Times New Roman"/>
          <w:sz w:val="24"/>
          <w:szCs w:val="24"/>
        </w:rPr>
        <w:t xml:space="preserve"> </w:t>
      </w:r>
      <w:r w:rsidR="00F60B80">
        <w:rPr>
          <w:rFonts w:ascii="Times New Roman" w:hAnsi="Times New Roman" w:cs="Times New Roman"/>
          <w:sz w:val="24"/>
          <w:szCs w:val="24"/>
        </w:rPr>
        <w:t xml:space="preserve">susceptible to </w:t>
      </w:r>
      <w:r w:rsidR="00756C1A">
        <w:rPr>
          <w:rFonts w:ascii="Times New Roman" w:hAnsi="Times New Roman" w:cs="Times New Roman"/>
          <w:sz w:val="24"/>
          <w:szCs w:val="24"/>
        </w:rPr>
        <w:t>marketing influences that draw attention</w:t>
      </w:r>
      <w:r w:rsidR="00B94361">
        <w:rPr>
          <w:rFonts w:ascii="Times New Roman" w:hAnsi="Times New Roman" w:cs="Times New Roman"/>
          <w:sz w:val="24"/>
          <w:szCs w:val="24"/>
        </w:rPr>
        <w:t xml:space="preserve"> to a target option</w:t>
      </w:r>
      <w:r w:rsidR="002A1A6A">
        <w:rPr>
          <w:rFonts w:ascii="Times New Roman" w:hAnsi="Times New Roman" w:cs="Times New Roman"/>
          <w:sz w:val="24"/>
          <w:szCs w:val="24"/>
        </w:rPr>
        <w:t xml:space="preserve"> in choices between losse</w:t>
      </w:r>
      <w:r w:rsidR="008E6632">
        <w:rPr>
          <w:rFonts w:ascii="Times New Roman" w:hAnsi="Times New Roman" w:cs="Times New Roman"/>
          <w:sz w:val="24"/>
          <w:szCs w:val="24"/>
        </w:rPr>
        <w:t>s</w:t>
      </w:r>
      <w:r w:rsidR="002F54D0">
        <w:rPr>
          <w:rFonts w:ascii="Times New Roman" w:hAnsi="Times New Roman" w:cs="Times New Roman"/>
          <w:sz w:val="24"/>
          <w:szCs w:val="24"/>
        </w:rPr>
        <w:t>, just</w:t>
      </w:r>
      <w:r w:rsidR="003D6D34">
        <w:rPr>
          <w:rFonts w:ascii="Times New Roman" w:hAnsi="Times New Roman" w:cs="Times New Roman"/>
          <w:sz w:val="24"/>
          <w:szCs w:val="24"/>
        </w:rPr>
        <w:t xml:space="preserve"> as they are in gain</w:t>
      </w:r>
      <w:r w:rsidR="002D2B10">
        <w:rPr>
          <w:rFonts w:ascii="Times New Roman" w:hAnsi="Times New Roman" w:cs="Times New Roman"/>
          <w:sz w:val="24"/>
          <w:szCs w:val="24"/>
        </w:rPr>
        <w:t xml:space="preserve">s. </w:t>
      </w:r>
      <w:r w:rsidR="00235ED4">
        <w:rPr>
          <w:rFonts w:ascii="Times New Roman" w:hAnsi="Times New Roman" w:cs="Times New Roman"/>
          <w:sz w:val="24"/>
          <w:szCs w:val="24"/>
        </w:rPr>
        <w:t xml:space="preserve">This </w:t>
      </w:r>
      <w:r w:rsidR="00AB29EE">
        <w:rPr>
          <w:rFonts w:ascii="Times New Roman" w:hAnsi="Times New Roman" w:cs="Times New Roman"/>
          <w:sz w:val="24"/>
          <w:szCs w:val="24"/>
        </w:rPr>
        <w:t xml:space="preserve">attentional mechanism </w:t>
      </w:r>
      <w:r w:rsidR="00235ED4">
        <w:rPr>
          <w:rFonts w:ascii="Times New Roman" w:hAnsi="Times New Roman" w:cs="Times New Roman"/>
          <w:sz w:val="24"/>
          <w:szCs w:val="24"/>
        </w:rPr>
        <w:t xml:space="preserve">can be used </w:t>
      </w:r>
      <w:r w:rsidR="00857AEA">
        <w:rPr>
          <w:rFonts w:ascii="Times New Roman" w:hAnsi="Times New Roman" w:cs="Times New Roman"/>
          <w:sz w:val="24"/>
          <w:szCs w:val="24"/>
        </w:rPr>
        <w:t>i</w:t>
      </w:r>
      <w:r w:rsidR="005B5422">
        <w:rPr>
          <w:rFonts w:ascii="Times New Roman" w:hAnsi="Times New Roman" w:cs="Times New Roman"/>
          <w:sz w:val="24"/>
          <w:szCs w:val="24"/>
        </w:rPr>
        <w:t>n the field of choice architecture</w:t>
      </w:r>
      <w:r w:rsidR="00AE1F7E">
        <w:rPr>
          <w:rFonts w:ascii="Times New Roman" w:hAnsi="Times New Roman" w:cs="Times New Roman"/>
          <w:sz w:val="24"/>
          <w:szCs w:val="24"/>
        </w:rPr>
        <w:t xml:space="preserve"> to nudge consumers towards </w:t>
      </w:r>
      <w:r w:rsidR="003371BB">
        <w:rPr>
          <w:rFonts w:ascii="Times New Roman" w:hAnsi="Times New Roman" w:cs="Times New Roman"/>
          <w:sz w:val="24"/>
          <w:szCs w:val="24"/>
        </w:rPr>
        <w:t>better decisions</w:t>
      </w:r>
      <w:r w:rsidR="00AE1F7E">
        <w:rPr>
          <w:rFonts w:ascii="Times New Roman" w:hAnsi="Times New Roman" w:cs="Times New Roman"/>
          <w:sz w:val="24"/>
          <w:szCs w:val="24"/>
        </w:rPr>
        <w:t xml:space="preserve"> </w:t>
      </w:r>
      <w:r w:rsidR="00AE1F7E">
        <w:rPr>
          <w:rFonts w:ascii="Times New Roman" w:hAnsi="Times New Roman" w:cs="Times New Roman"/>
          <w:sz w:val="24"/>
          <w:szCs w:val="24"/>
        </w:rPr>
        <w:fldChar w:fldCharType="begin"/>
      </w:r>
      <w:r w:rsidR="00AE1F7E">
        <w:rPr>
          <w:rFonts w:ascii="Times New Roman" w:hAnsi="Times New Roman" w:cs="Times New Roman"/>
          <w:sz w:val="24"/>
          <w:szCs w:val="24"/>
        </w:rPr>
        <w:instrText xml:space="preserve"> ADDIN ZOTERO_ITEM CSL_CITATION {"citationID":"fFqtiAEq","properties":{"formattedCitation":"(Johnson et al., 2012)","plainCitation":"(Johnson et al., 2012)","noteIndex":0},"citationItems":[{"id":2135,"uris":["http://zotero.org/users/8933003/items/YWMS5V6S"],"itemData":{"id":2135,"type":"article-journal","abstract":"The way a choice is presented influences what a decision-maker chooses. This paper outlines the tools available to choice architects, that is anyone who present people with choices. We divide these tools into two categories: those used in structuring the choice task and those used in describing the choice options. Tools for structuring the choice task address the idea of what to present to decision-makers, and tools for describing the choice options address the idea of how to present it. We discuss implementation issues in using choice architecture tools, including individual differences and errors in evaluation of choice outcomes. Finally, this paper presents a few applications that illustrate the positive effect choice architecture can have on real-world decisions.","container-title":"Marketing Letters","DOI":"10.1007/s11002-012-9186-1","ISSN":"1573-059X","issue":"2","journalAbbreviation":"Mark Lett","language":"en","page":"487-504","source":"Springer Link","title":"Beyond nudges: Tools of a choice architecture","title-short":"Beyond nudges","volume":"23","author":[{"family":"Johnson","given":"Eric J."},{"family":"Shu","given":"Suzanne B."},{"family":"Dellaert","given":"Benedict G. C."},{"family":"Fox","given":"Craig"},{"family":"Goldstein","given":"Daniel G."},{"family":"Häubl","given":"Gerald"},{"family":"Larrick","given":"Richard P."},{"family":"Payne","given":"John W."},{"family":"Peters","given":"Ellen"},{"family":"Schkade","given":"David"},{"family":"Wansink","given":"Brian"},{"family":"Weber","given":"Elke U."}],"issued":{"date-parts":[["2012",6,1]]}}}],"schema":"https://github.com/citation-style-language/schema/raw/master/csl-citation.json"} </w:instrText>
      </w:r>
      <w:r w:rsidR="00AE1F7E">
        <w:rPr>
          <w:rFonts w:ascii="Times New Roman" w:hAnsi="Times New Roman" w:cs="Times New Roman"/>
          <w:sz w:val="24"/>
          <w:szCs w:val="24"/>
        </w:rPr>
        <w:fldChar w:fldCharType="separate"/>
      </w:r>
      <w:r w:rsidR="00AE1F7E" w:rsidRPr="00AE1F7E">
        <w:rPr>
          <w:rFonts w:ascii="Times New Roman" w:hAnsi="Times New Roman" w:cs="Times New Roman"/>
          <w:sz w:val="24"/>
        </w:rPr>
        <w:t>(Johnson et al., 2012)</w:t>
      </w:r>
      <w:r w:rsidR="00AE1F7E">
        <w:rPr>
          <w:rFonts w:ascii="Times New Roman" w:hAnsi="Times New Roman" w:cs="Times New Roman"/>
          <w:sz w:val="24"/>
          <w:szCs w:val="24"/>
        </w:rPr>
        <w:fldChar w:fldCharType="end"/>
      </w:r>
      <w:r w:rsidR="00FB643A">
        <w:rPr>
          <w:rFonts w:ascii="Times New Roman" w:hAnsi="Times New Roman" w:cs="Times New Roman"/>
          <w:sz w:val="24"/>
          <w:szCs w:val="24"/>
        </w:rPr>
        <w:t>.</w:t>
      </w:r>
    </w:p>
    <w:p w14:paraId="4028D745" w14:textId="071D0652" w:rsidR="00414BC9" w:rsidRDefault="00701580" w:rsidP="00701580">
      <w:pPr>
        <w:jc w:val="both"/>
        <w:rPr>
          <w:rFonts w:ascii="Times New Roman" w:hAnsi="Times New Roman" w:cs="Times New Roman"/>
          <w:sz w:val="24"/>
          <w:szCs w:val="24"/>
        </w:rPr>
      </w:pPr>
      <w:r w:rsidRPr="00701580">
        <w:rPr>
          <w:rFonts w:ascii="Times New Roman" w:hAnsi="Times New Roman" w:cs="Times New Roman"/>
          <w:sz w:val="24"/>
          <w:szCs w:val="24"/>
        </w:rPr>
        <w:t>There are several potential explanations of these results.</w:t>
      </w:r>
      <w:r>
        <w:rPr>
          <w:rFonts w:ascii="Times New Roman" w:hAnsi="Times New Roman" w:cs="Times New Roman"/>
          <w:sz w:val="24"/>
          <w:szCs w:val="24"/>
        </w:rPr>
        <w:t xml:space="preserve"> </w:t>
      </w:r>
      <w:r w:rsidRPr="00701580">
        <w:rPr>
          <w:rFonts w:ascii="Times New Roman" w:hAnsi="Times New Roman" w:cs="Times New Roman"/>
          <w:sz w:val="24"/>
          <w:szCs w:val="24"/>
        </w:rPr>
        <w:t xml:space="preserve">The first is that there is a fundamental difference in the role of attention in choices </w:t>
      </w:r>
      <w:r w:rsidR="000E4CCD">
        <w:rPr>
          <w:rFonts w:ascii="Times New Roman" w:hAnsi="Times New Roman" w:cs="Times New Roman"/>
          <w:sz w:val="24"/>
          <w:szCs w:val="24"/>
        </w:rPr>
        <w:t>between</w:t>
      </w:r>
      <w:r w:rsidRPr="00701580">
        <w:rPr>
          <w:rFonts w:ascii="Times New Roman" w:hAnsi="Times New Roman" w:cs="Times New Roman"/>
          <w:sz w:val="24"/>
          <w:szCs w:val="24"/>
        </w:rPr>
        <w:t xml:space="preserve"> gains and in choices </w:t>
      </w:r>
      <w:r w:rsidR="00637AE0">
        <w:rPr>
          <w:rFonts w:ascii="Times New Roman" w:hAnsi="Times New Roman" w:cs="Times New Roman"/>
          <w:sz w:val="24"/>
          <w:szCs w:val="24"/>
        </w:rPr>
        <w:t>between</w:t>
      </w:r>
      <w:r w:rsidRPr="00701580">
        <w:rPr>
          <w:rFonts w:ascii="Times New Roman" w:hAnsi="Times New Roman" w:cs="Times New Roman"/>
          <w:sz w:val="24"/>
          <w:szCs w:val="24"/>
        </w:rPr>
        <w:t xml:space="preserve"> losses.</w:t>
      </w:r>
      <w:r>
        <w:rPr>
          <w:rFonts w:ascii="Times New Roman" w:hAnsi="Times New Roman" w:cs="Times New Roman"/>
          <w:sz w:val="24"/>
          <w:szCs w:val="24"/>
        </w:rPr>
        <w:t xml:space="preserve"> </w:t>
      </w:r>
      <w:r w:rsidRPr="00701580">
        <w:rPr>
          <w:rFonts w:ascii="Times New Roman" w:hAnsi="Times New Roman" w:cs="Times New Roman"/>
          <w:sz w:val="24"/>
          <w:szCs w:val="24"/>
        </w:rPr>
        <w:t>Second is that subjects may be solving the task by counting the number of green dots in the gain trials, switching to counting the white dots in loss trials, and making value comparisons based on these counts.</w:t>
      </w:r>
      <w:r>
        <w:rPr>
          <w:rFonts w:ascii="Times New Roman" w:hAnsi="Times New Roman" w:cs="Times New Roman"/>
          <w:sz w:val="24"/>
          <w:szCs w:val="24"/>
        </w:rPr>
        <w:t xml:space="preserve"> </w:t>
      </w:r>
      <w:r w:rsidRPr="00701580">
        <w:rPr>
          <w:rFonts w:ascii="Times New Roman" w:hAnsi="Times New Roman" w:cs="Times New Roman"/>
          <w:sz w:val="24"/>
          <w:szCs w:val="24"/>
        </w:rPr>
        <w:t>If so, an aDDM with</w:t>
      </w:r>
      <w:r w:rsidR="00637AE0">
        <w:rPr>
          <w:rFonts w:ascii="Times New Roman" w:hAnsi="Times New Roman" w:cs="Times New Roman"/>
          <w:sz w:val="24"/>
          <w:szCs w:val="24"/>
        </w:rPr>
        <w:t xml:space="preserve"> constant</w:t>
      </w:r>
      <w:r w:rsidRPr="00701580">
        <w:rPr>
          <w:rFonts w:ascii="Times New Roman" w:hAnsi="Times New Roman" w:cs="Times New Roman"/>
          <w:sz w:val="24"/>
          <w:szCs w:val="24"/>
        </w:rPr>
        <w:t xml:space="preserve"> attentional discounting can explain these results.</w:t>
      </w:r>
      <w:r>
        <w:rPr>
          <w:rFonts w:ascii="Times New Roman" w:hAnsi="Times New Roman" w:cs="Times New Roman"/>
          <w:sz w:val="24"/>
          <w:szCs w:val="24"/>
        </w:rPr>
        <w:t xml:space="preserve"> </w:t>
      </w:r>
      <w:r w:rsidRPr="00701580">
        <w:rPr>
          <w:rFonts w:ascii="Times New Roman" w:hAnsi="Times New Roman" w:cs="Times New Roman"/>
          <w:sz w:val="24"/>
          <w:szCs w:val="24"/>
        </w:rPr>
        <w:t xml:space="preserve">Another possible explanation is that subjects are evaluating the value of the options with respect to a reference point </w:t>
      </w:r>
      <w:r w:rsidR="00F81119">
        <w:rPr>
          <w:rFonts w:ascii="Times New Roman" w:hAnsi="Times New Roman" w:cs="Times New Roman"/>
          <w:sz w:val="24"/>
          <w:szCs w:val="24"/>
        </w:rPr>
        <w:fldChar w:fldCharType="begin"/>
      </w:r>
      <w:r w:rsidR="00F81119">
        <w:rPr>
          <w:rFonts w:ascii="Times New Roman" w:hAnsi="Times New Roman" w:cs="Times New Roman"/>
          <w:sz w:val="24"/>
          <w:szCs w:val="24"/>
        </w:rPr>
        <w:instrText xml:space="preserve"> ADDIN ZOTERO_ITEM CSL_CITATION {"citationID":"8gxw13iN","properties":{"formattedCitation":"(Kahneman &amp; Tversky, 1979)","plainCitation":"(Kahneman &amp; Tversky, 1979)","noteIndex":0},"citationItems":[{"id":192,"uris":["http://zotero.org/users/8933003/items/R42PDTX4"],"itemData":{"id":192,"type":"article-journal","container-title":"Econometrica","DOI":"10.2307/1914185","ISSN":"00129682","issue":"2","journalAbbreviation":"Econometrica","page":"263","source":"DOI.org (Crossref)","title":"Prospect Theory: An Analysis of Decision under Risk","title-short":"Prospect Theory","volume":"47","author":[{"family":"Kahneman","given":"Daniel"},{"family":"Tversky","given":"Amos"}],"issued":{"date-parts":[["1979",3]]}}}],"schema":"https://github.com/citation-style-language/schema/raw/master/csl-citation.json"} </w:instrText>
      </w:r>
      <w:r w:rsidR="00F81119">
        <w:rPr>
          <w:rFonts w:ascii="Times New Roman" w:hAnsi="Times New Roman" w:cs="Times New Roman"/>
          <w:sz w:val="24"/>
          <w:szCs w:val="24"/>
        </w:rPr>
        <w:fldChar w:fldCharType="separate"/>
      </w:r>
      <w:r w:rsidR="00F81119" w:rsidRPr="00F81119">
        <w:rPr>
          <w:rFonts w:ascii="Times New Roman" w:hAnsi="Times New Roman" w:cs="Times New Roman"/>
          <w:sz w:val="24"/>
        </w:rPr>
        <w:t>(Kahneman &amp; Tversky, 1979)</w:t>
      </w:r>
      <w:r w:rsidR="00F81119">
        <w:rPr>
          <w:rFonts w:ascii="Times New Roman" w:hAnsi="Times New Roman" w:cs="Times New Roman"/>
          <w:sz w:val="24"/>
          <w:szCs w:val="24"/>
        </w:rPr>
        <w:fldChar w:fldCharType="end"/>
      </w:r>
      <w:r w:rsidRPr="00701580">
        <w:rPr>
          <w:rFonts w:ascii="Times New Roman" w:hAnsi="Times New Roman" w:cs="Times New Roman"/>
          <w:sz w:val="24"/>
          <w:szCs w:val="24"/>
        </w:rPr>
        <w:t>, such as the minimum value between the two options.</w:t>
      </w:r>
      <w:r>
        <w:rPr>
          <w:rFonts w:ascii="Times New Roman" w:hAnsi="Times New Roman" w:cs="Times New Roman"/>
          <w:sz w:val="24"/>
          <w:szCs w:val="24"/>
        </w:rPr>
        <w:t xml:space="preserve"> </w:t>
      </w:r>
      <w:r w:rsidRPr="00701580">
        <w:rPr>
          <w:rFonts w:ascii="Times New Roman" w:hAnsi="Times New Roman" w:cs="Times New Roman"/>
          <w:sz w:val="24"/>
          <w:szCs w:val="24"/>
        </w:rPr>
        <w:t>We are exploring these hypotheses in subsequent work.</w:t>
      </w:r>
    </w:p>
    <w:p w14:paraId="226B1CD5" w14:textId="77777777" w:rsidR="0042287B" w:rsidRDefault="0042287B" w:rsidP="00701580">
      <w:pPr>
        <w:jc w:val="both"/>
        <w:rPr>
          <w:rFonts w:ascii="Times New Roman" w:hAnsi="Times New Roman" w:cs="Times New Roman"/>
          <w:sz w:val="24"/>
          <w:szCs w:val="24"/>
        </w:rPr>
      </w:pPr>
    </w:p>
    <w:p w14:paraId="19457218" w14:textId="1836B9A5" w:rsidR="0042287B" w:rsidRDefault="0042287B">
      <w:pPr>
        <w:rPr>
          <w:rFonts w:ascii="Times New Roman" w:hAnsi="Times New Roman" w:cs="Times New Roman"/>
          <w:sz w:val="24"/>
          <w:szCs w:val="24"/>
        </w:rPr>
      </w:pPr>
      <w:r>
        <w:rPr>
          <w:rFonts w:ascii="Times New Roman" w:hAnsi="Times New Roman" w:cs="Times New Roman"/>
          <w:sz w:val="24"/>
          <w:szCs w:val="24"/>
        </w:rPr>
        <w:br w:type="page"/>
      </w:r>
    </w:p>
    <w:p w14:paraId="78006D37" w14:textId="758DED0F" w:rsidR="00CF6DA5" w:rsidRPr="00211E7A" w:rsidRDefault="00211E7A" w:rsidP="00CF6DA5">
      <w:pPr>
        <w:pStyle w:val="Bibliography"/>
        <w:rPr>
          <w:rFonts w:ascii="Times New Roman" w:hAnsi="Times New Roman" w:cs="Times New Roman"/>
          <w:sz w:val="36"/>
          <w:szCs w:val="36"/>
        </w:rPr>
      </w:pPr>
      <w:r>
        <w:rPr>
          <w:rFonts w:ascii="Times New Roman" w:hAnsi="Times New Roman" w:cs="Times New Roman"/>
          <w:sz w:val="36"/>
          <w:szCs w:val="36"/>
        </w:rPr>
        <w:lastRenderedPageBreak/>
        <w:t>References</w:t>
      </w:r>
    </w:p>
    <w:p w14:paraId="40F01F82" w14:textId="77777777" w:rsidR="00A5255B" w:rsidRPr="00DD4A14" w:rsidRDefault="00CF6DA5" w:rsidP="00A5255B">
      <w:pPr>
        <w:pStyle w:val="Bibliography"/>
        <w:rPr>
          <w:rFonts w:ascii="Times New Roman" w:hAnsi="Times New Roman" w:cs="Times New Roman"/>
          <w:sz w:val="20"/>
          <w:szCs w:val="20"/>
        </w:rPr>
      </w:pPr>
      <w:r w:rsidRPr="00211E7A">
        <w:fldChar w:fldCharType="begin"/>
      </w:r>
      <w:r w:rsidR="00A5255B">
        <w:instrText xml:space="preserve"> ADDIN ZOTERO_BIBL {"uncited":[],"omitted":[],"custom":[]} CSL_BIBLIOGRAPHY </w:instrText>
      </w:r>
      <w:r w:rsidRPr="00211E7A">
        <w:fldChar w:fldCharType="separate"/>
      </w:r>
      <w:r w:rsidR="00A5255B" w:rsidRPr="00DD4A14">
        <w:rPr>
          <w:rFonts w:ascii="Times New Roman" w:hAnsi="Times New Roman" w:cs="Times New Roman"/>
          <w:sz w:val="20"/>
          <w:szCs w:val="20"/>
        </w:rPr>
        <w:t xml:space="preserve">Eum, B., Dolbier, S., &amp; Rangel, A. (forthcoming). Peripheral Visual Information Halves Attentional Choice Biases. </w:t>
      </w:r>
      <w:r w:rsidR="00A5255B" w:rsidRPr="00DD4A14">
        <w:rPr>
          <w:rFonts w:ascii="Times New Roman" w:hAnsi="Times New Roman" w:cs="Times New Roman"/>
          <w:i/>
          <w:iCs/>
          <w:sz w:val="20"/>
          <w:szCs w:val="20"/>
        </w:rPr>
        <w:t>Psychological Science</w:t>
      </w:r>
      <w:r w:rsidR="00A5255B" w:rsidRPr="00DD4A14">
        <w:rPr>
          <w:rFonts w:ascii="Times New Roman" w:hAnsi="Times New Roman" w:cs="Times New Roman"/>
          <w:sz w:val="20"/>
          <w:szCs w:val="20"/>
        </w:rPr>
        <w:t>.</w:t>
      </w:r>
    </w:p>
    <w:p w14:paraId="56F5A627"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Fiedler, S., &amp; Glöckner, A. (2012). The Dynamics of Decision Making in Risky Choice: An Eye-Tracking Analysis. </w:t>
      </w:r>
      <w:r w:rsidRPr="00DD4A14">
        <w:rPr>
          <w:rFonts w:ascii="Times New Roman" w:hAnsi="Times New Roman" w:cs="Times New Roman"/>
          <w:i/>
          <w:iCs/>
          <w:sz w:val="20"/>
          <w:szCs w:val="20"/>
        </w:rPr>
        <w:t>Frontiers in Psychology</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3</w:t>
      </w:r>
      <w:r w:rsidRPr="00DD4A14">
        <w:rPr>
          <w:rFonts w:ascii="Times New Roman" w:hAnsi="Times New Roman" w:cs="Times New Roman"/>
          <w:sz w:val="20"/>
          <w:szCs w:val="20"/>
        </w:rPr>
        <w:t>. https://doi.org/10.3389/fpsyg.2012.00335</w:t>
      </w:r>
    </w:p>
    <w:p w14:paraId="28F3FD89"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Johnson, E. J., Shu, S. B., Dellaert, B. G. C., Fox, C., Goldstein, D. G., Häubl, G., Larrick, R. P., Payne, J. W., Peters, E., Schkade, D., Wansink, B., &amp; Weber, E. U. (2012). Beyond nudges: Tools of a choice architecture. </w:t>
      </w:r>
      <w:r w:rsidRPr="00DD4A14">
        <w:rPr>
          <w:rFonts w:ascii="Times New Roman" w:hAnsi="Times New Roman" w:cs="Times New Roman"/>
          <w:i/>
          <w:iCs/>
          <w:sz w:val="20"/>
          <w:szCs w:val="20"/>
        </w:rPr>
        <w:t>Marketing Letters</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23</w:t>
      </w:r>
      <w:r w:rsidRPr="00DD4A14">
        <w:rPr>
          <w:rFonts w:ascii="Times New Roman" w:hAnsi="Times New Roman" w:cs="Times New Roman"/>
          <w:sz w:val="20"/>
          <w:szCs w:val="20"/>
        </w:rPr>
        <w:t>(2), 487–504. https://doi.org/10.1007/s11002-012-9186-1</w:t>
      </w:r>
    </w:p>
    <w:p w14:paraId="335242AB"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Kahneman, D., &amp; Tversky, A. (1979). Prospect Theory: An Analysis of Decision under Risk. </w:t>
      </w:r>
      <w:r w:rsidRPr="00DD4A14">
        <w:rPr>
          <w:rFonts w:ascii="Times New Roman" w:hAnsi="Times New Roman" w:cs="Times New Roman"/>
          <w:i/>
          <w:iCs/>
          <w:sz w:val="20"/>
          <w:szCs w:val="20"/>
        </w:rPr>
        <w:t>Econometrica</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47</w:t>
      </w:r>
      <w:r w:rsidRPr="00DD4A14">
        <w:rPr>
          <w:rFonts w:ascii="Times New Roman" w:hAnsi="Times New Roman" w:cs="Times New Roman"/>
          <w:sz w:val="20"/>
          <w:szCs w:val="20"/>
        </w:rPr>
        <w:t>(2), 263. https://doi.org/10.2307/1914185</w:t>
      </w:r>
    </w:p>
    <w:p w14:paraId="75D4620D"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Krajbich, I., Armel, C., &amp; Rangel, A. (2010). Visual fixations and the computation and comparison of value in simple choice. </w:t>
      </w:r>
      <w:r w:rsidRPr="00DD4A14">
        <w:rPr>
          <w:rFonts w:ascii="Times New Roman" w:hAnsi="Times New Roman" w:cs="Times New Roman"/>
          <w:i/>
          <w:iCs/>
          <w:sz w:val="20"/>
          <w:szCs w:val="20"/>
        </w:rPr>
        <w:t>Nature Neuroscience</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13</w:t>
      </w:r>
      <w:r w:rsidRPr="00DD4A14">
        <w:rPr>
          <w:rFonts w:ascii="Times New Roman" w:hAnsi="Times New Roman" w:cs="Times New Roman"/>
          <w:sz w:val="20"/>
          <w:szCs w:val="20"/>
        </w:rPr>
        <w:t>(10), 1292–1298. https://doi.org/10.1038/nn.2635</w:t>
      </w:r>
    </w:p>
    <w:p w14:paraId="6FC274F2"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Krajbich, I., &amp; Rangel, A. (2011). Multialternative drift-diffusion model predicts the relationship between visual fixations and choice in value-based decisions. </w:t>
      </w:r>
      <w:r w:rsidRPr="00DD4A14">
        <w:rPr>
          <w:rFonts w:ascii="Times New Roman" w:hAnsi="Times New Roman" w:cs="Times New Roman"/>
          <w:i/>
          <w:iCs/>
          <w:sz w:val="20"/>
          <w:szCs w:val="20"/>
        </w:rPr>
        <w:t>Proceedings of the National Academy of Sciences</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108</w:t>
      </w:r>
      <w:r w:rsidRPr="00DD4A14">
        <w:rPr>
          <w:rFonts w:ascii="Times New Roman" w:hAnsi="Times New Roman" w:cs="Times New Roman"/>
          <w:sz w:val="20"/>
          <w:szCs w:val="20"/>
        </w:rPr>
        <w:t>(33), 13852–13857. https://doi.org/10.1073/pnas.1101328108</w:t>
      </w:r>
    </w:p>
    <w:p w14:paraId="120D5B3B"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Mormann, M. M., Malmaud, J., Huth, A., Koch, C., &amp; Rangel, A. (2010). The Drift Diffusion Model Can Account for the Accuracy and Reaction Time of Value-Based Choices Under High and Low Time Pressure. </w:t>
      </w:r>
      <w:r w:rsidRPr="00DD4A14">
        <w:rPr>
          <w:rFonts w:ascii="Times New Roman" w:hAnsi="Times New Roman" w:cs="Times New Roman"/>
          <w:i/>
          <w:iCs/>
          <w:sz w:val="20"/>
          <w:szCs w:val="20"/>
        </w:rPr>
        <w:t>Judgement and Decision Making</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5</w:t>
      </w:r>
      <w:r w:rsidRPr="00DD4A14">
        <w:rPr>
          <w:rFonts w:ascii="Times New Roman" w:hAnsi="Times New Roman" w:cs="Times New Roman"/>
          <w:sz w:val="20"/>
          <w:szCs w:val="20"/>
        </w:rPr>
        <w:t>(6), 437–449. https://doi.org/10.2139/ssrn.1901533</w:t>
      </w:r>
    </w:p>
    <w:p w14:paraId="2571AEE4"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Ratcliff, R., Smith, P. L., Brown, S. D., &amp; McKoon, G. (2016). Diffusion Decision Model: Current Issues and History. </w:t>
      </w:r>
      <w:r w:rsidRPr="00DD4A14">
        <w:rPr>
          <w:rFonts w:ascii="Times New Roman" w:hAnsi="Times New Roman" w:cs="Times New Roman"/>
          <w:i/>
          <w:iCs/>
          <w:sz w:val="20"/>
          <w:szCs w:val="20"/>
        </w:rPr>
        <w:t>Trends in Cognitive Sciences</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20</w:t>
      </w:r>
      <w:r w:rsidRPr="00DD4A14">
        <w:rPr>
          <w:rFonts w:ascii="Times New Roman" w:hAnsi="Times New Roman" w:cs="Times New Roman"/>
          <w:sz w:val="20"/>
          <w:szCs w:val="20"/>
        </w:rPr>
        <w:t>(4), 260–281. https://doi.org/10.1016/j.tics.2016.01.007</w:t>
      </w:r>
    </w:p>
    <w:p w14:paraId="154F2D1C" w14:textId="77777777" w:rsidR="00A5255B" w:rsidRPr="00DD4A14" w:rsidRDefault="00A5255B" w:rsidP="00A5255B">
      <w:pPr>
        <w:pStyle w:val="Bibliography"/>
        <w:rPr>
          <w:rFonts w:ascii="Times New Roman" w:hAnsi="Times New Roman" w:cs="Times New Roman"/>
          <w:sz w:val="20"/>
          <w:szCs w:val="20"/>
        </w:rPr>
      </w:pPr>
      <w:r w:rsidRPr="00DD4A14">
        <w:rPr>
          <w:rFonts w:ascii="Times New Roman" w:hAnsi="Times New Roman" w:cs="Times New Roman"/>
          <w:sz w:val="20"/>
          <w:szCs w:val="20"/>
        </w:rPr>
        <w:t xml:space="preserve">Smith, S. M., &amp; Krajbich, I. (2018). Attention and choice across domains. </w:t>
      </w:r>
      <w:r w:rsidRPr="00DD4A14">
        <w:rPr>
          <w:rFonts w:ascii="Times New Roman" w:hAnsi="Times New Roman" w:cs="Times New Roman"/>
          <w:i/>
          <w:iCs/>
          <w:sz w:val="20"/>
          <w:szCs w:val="20"/>
        </w:rPr>
        <w:t>Journal of Experimental Psychology: General</w:t>
      </w:r>
      <w:r w:rsidRPr="00DD4A14">
        <w:rPr>
          <w:rFonts w:ascii="Times New Roman" w:hAnsi="Times New Roman" w:cs="Times New Roman"/>
          <w:sz w:val="20"/>
          <w:szCs w:val="20"/>
        </w:rPr>
        <w:t xml:space="preserve">, </w:t>
      </w:r>
      <w:r w:rsidRPr="00DD4A14">
        <w:rPr>
          <w:rFonts w:ascii="Times New Roman" w:hAnsi="Times New Roman" w:cs="Times New Roman"/>
          <w:i/>
          <w:iCs/>
          <w:sz w:val="20"/>
          <w:szCs w:val="20"/>
        </w:rPr>
        <w:t>147</w:t>
      </w:r>
      <w:r w:rsidRPr="00DD4A14">
        <w:rPr>
          <w:rFonts w:ascii="Times New Roman" w:hAnsi="Times New Roman" w:cs="Times New Roman"/>
          <w:sz w:val="20"/>
          <w:szCs w:val="20"/>
        </w:rPr>
        <w:t>(12), 1810–1826. https://doi.org/10.1037/xge0000482</w:t>
      </w:r>
    </w:p>
    <w:p w14:paraId="19823B34" w14:textId="77777777" w:rsidR="00A5255B" w:rsidRPr="00A5255B" w:rsidRDefault="00A5255B" w:rsidP="00A5255B">
      <w:pPr>
        <w:pStyle w:val="Bibliography"/>
        <w:rPr>
          <w:rFonts w:ascii="Times New Roman" w:hAnsi="Times New Roman" w:cs="Times New Roman"/>
        </w:rPr>
      </w:pPr>
      <w:r w:rsidRPr="00DD4A14">
        <w:rPr>
          <w:rFonts w:ascii="Times New Roman" w:hAnsi="Times New Roman" w:cs="Times New Roman"/>
          <w:sz w:val="20"/>
          <w:szCs w:val="20"/>
        </w:rPr>
        <w:t xml:space="preserve">Tavares, G., Perona, P., &amp; Rangel, A. (2017). The Attentional Drift Diffusion Model of Simple Perceptual </w:t>
      </w:r>
      <w:r w:rsidRPr="00A5255B">
        <w:rPr>
          <w:rFonts w:ascii="Times New Roman" w:hAnsi="Times New Roman" w:cs="Times New Roman"/>
        </w:rPr>
        <w:t xml:space="preserve">Decision-Making. </w:t>
      </w:r>
      <w:r w:rsidRPr="00A5255B">
        <w:rPr>
          <w:rFonts w:ascii="Times New Roman" w:hAnsi="Times New Roman" w:cs="Times New Roman"/>
          <w:i/>
          <w:iCs/>
        </w:rPr>
        <w:t>Frontiers in Neuroscience</w:t>
      </w:r>
      <w:r w:rsidRPr="00A5255B">
        <w:rPr>
          <w:rFonts w:ascii="Times New Roman" w:hAnsi="Times New Roman" w:cs="Times New Roman"/>
        </w:rPr>
        <w:t xml:space="preserve">, </w:t>
      </w:r>
      <w:r w:rsidRPr="00A5255B">
        <w:rPr>
          <w:rFonts w:ascii="Times New Roman" w:hAnsi="Times New Roman" w:cs="Times New Roman"/>
          <w:i/>
          <w:iCs/>
        </w:rPr>
        <w:t>11</w:t>
      </w:r>
      <w:r w:rsidRPr="00A5255B">
        <w:rPr>
          <w:rFonts w:ascii="Times New Roman" w:hAnsi="Times New Roman" w:cs="Times New Roman"/>
        </w:rPr>
        <w:t>, 468. https://doi.org/10.3389/fnins.2017.00468</w:t>
      </w:r>
    </w:p>
    <w:p w14:paraId="067CBEE5" w14:textId="308B443E" w:rsidR="0042287B" w:rsidRPr="00211E7A" w:rsidRDefault="00CF6DA5" w:rsidP="00701580">
      <w:pPr>
        <w:jc w:val="both"/>
        <w:rPr>
          <w:rFonts w:ascii="Times New Roman" w:hAnsi="Times New Roman" w:cs="Times New Roman"/>
          <w:sz w:val="24"/>
          <w:szCs w:val="24"/>
        </w:rPr>
      </w:pPr>
      <w:r w:rsidRPr="00211E7A">
        <w:rPr>
          <w:rFonts w:ascii="Times New Roman" w:hAnsi="Times New Roman" w:cs="Times New Roman"/>
          <w:sz w:val="24"/>
          <w:szCs w:val="24"/>
        </w:rPr>
        <w:fldChar w:fldCharType="end"/>
      </w:r>
    </w:p>
    <w:sectPr w:rsidR="0042287B" w:rsidRPr="0021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5E"/>
    <w:rsid w:val="0001515B"/>
    <w:rsid w:val="00040B9A"/>
    <w:rsid w:val="00041F03"/>
    <w:rsid w:val="00090257"/>
    <w:rsid w:val="000A1AB0"/>
    <w:rsid w:val="000C1C20"/>
    <w:rsid w:val="000D55AF"/>
    <w:rsid w:val="000E4CCD"/>
    <w:rsid w:val="0010367A"/>
    <w:rsid w:val="00107202"/>
    <w:rsid w:val="00110AC1"/>
    <w:rsid w:val="001126D8"/>
    <w:rsid w:val="00173EDA"/>
    <w:rsid w:val="001A0A2F"/>
    <w:rsid w:val="001A1BF1"/>
    <w:rsid w:val="001C1BC2"/>
    <w:rsid w:val="001C3400"/>
    <w:rsid w:val="001E534C"/>
    <w:rsid w:val="00202F92"/>
    <w:rsid w:val="00211E7A"/>
    <w:rsid w:val="0022050D"/>
    <w:rsid w:val="00235ED4"/>
    <w:rsid w:val="002755EB"/>
    <w:rsid w:val="00280471"/>
    <w:rsid w:val="00282586"/>
    <w:rsid w:val="002A1A6A"/>
    <w:rsid w:val="002A7371"/>
    <w:rsid w:val="002D2B10"/>
    <w:rsid w:val="002D7A74"/>
    <w:rsid w:val="002F54D0"/>
    <w:rsid w:val="003371BB"/>
    <w:rsid w:val="00344138"/>
    <w:rsid w:val="00361D04"/>
    <w:rsid w:val="00361EF2"/>
    <w:rsid w:val="003936B7"/>
    <w:rsid w:val="003B3B58"/>
    <w:rsid w:val="003D4A07"/>
    <w:rsid w:val="003D6D34"/>
    <w:rsid w:val="003E0058"/>
    <w:rsid w:val="00404F80"/>
    <w:rsid w:val="004133DD"/>
    <w:rsid w:val="00413872"/>
    <w:rsid w:val="00414BC9"/>
    <w:rsid w:val="0042287B"/>
    <w:rsid w:val="004406B1"/>
    <w:rsid w:val="00441B24"/>
    <w:rsid w:val="004644AF"/>
    <w:rsid w:val="00483CAB"/>
    <w:rsid w:val="0049116A"/>
    <w:rsid w:val="004D5F9B"/>
    <w:rsid w:val="004D609E"/>
    <w:rsid w:val="00532575"/>
    <w:rsid w:val="005352E4"/>
    <w:rsid w:val="005379E9"/>
    <w:rsid w:val="0057229B"/>
    <w:rsid w:val="00573F1C"/>
    <w:rsid w:val="00577F6B"/>
    <w:rsid w:val="005B5422"/>
    <w:rsid w:val="005D3574"/>
    <w:rsid w:val="005D71A9"/>
    <w:rsid w:val="005E7724"/>
    <w:rsid w:val="005F2791"/>
    <w:rsid w:val="00614271"/>
    <w:rsid w:val="00615262"/>
    <w:rsid w:val="00637AE0"/>
    <w:rsid w:val="00642096"/>
    <w:rsid w:val="00651B48"/>
    <w:rsid w:val="00660701"/>
    <w:rsid w:val="0068204E"/>
    <w:rsid w:val="00691054"/>
    <w:rsid w:val="006A6532"/>
    <w:rsid w:val="006E6BAD"/>
    <w:rsid w:val="00701580"/>
    <w:rsid w:val="00753862"/>
    <w:rsid w:val="00756C1A"/>
    <w:rsid w:val="007B3F81"/>
    <w:rsid w:val="007C68F0"/>
    <w:rsid w:val="007F2458"/>
    <w:rsid w:val="007F2CA3"/>
    <w:rsid w:val="0083150E"/>
    <w:rsid w:val="0084291A"/>
    <w:rsid w:val="00846D65"/>
    <w:rsid w:val="00857AEA"/>
    <w:rsid w:val="00876086"/>
    <w:rsid w:val="00894E02"/>
    <w:rsid w:val="00894F28"/>
    <w:rsid w:val="008B11F4"/>
    <w:rsid w:val="008E6632"/>
    <w:rsid w:val="00962D7B"/>
    <w:rsid w:val="00963EA1"/>
    <w:rsid w:val="00964DF5"/>
    <w:rsid w:val="00966721"/>
    <w:rsid w:val="009731E6"/>
    <w:rsid w:val="009A0D83"/>
    <w:rsid w:val="009B1578"/>
    <w:rsid w:val="009C0626"/>
    <w:rsid w:val="009C3540"/>
    <w:rsid w:val="009C4929"/>
    <w:rsid w:val="00A1667A"/>
    <w:rsid w:val="00A47480"/>
    <w:rsid w:val="00A5255B"/>
    <w:rsid w:val="00AB29EE"/>
    <w:rsid w:val="00AE1F7E"/>
    <w:rsid w:val="00B50C6D"/>
    <w:rsid w:val="00B52889"/>
    <w:rsid w:val="00B63D69"/>
    <w:rsid w:val="00B64D9E"/>
    <w:rsid w:val="00B6765E"/>
    <w:rsid w:val="00B8004D"/>
    <w:rsid w:val="00B94361"/>
    <w:rsid w:val="00BB57F5"/>
    <w:rsid w:val="00BF63E5"/>
    <w:rsid w:val="00C51C79"/>
    <w:rsid w:val="00C73D21"/>
    <w:rsid w:val="00C928E6"/>
    <w:rsid w:val="00CB49A1"/>
    <w:rsid w:val="00CD5E10"/>
    <w:rsid w:val="00CE24DE"/>
    <w:rsid w:val="00CF26E4"/>
    <w:rsid w:val="00CF3653"/>
    <w:rsid w:val="00CF6DA5"/>
    <w:rsid w:val="00D24BE8"/>
    <w:rsid w:val="00D40168"/>
    <w:rsid w:val="00D84DA4"/>
    <w:rsid w:val="00D97FA3"/>
    <w:rsid w:val="00DB3830"/>
    <w:rsid w:val="00DC12FE"/>
    <w:rsid w:val="00DD4A14"/>
    <w:rsid w:val="00E042A6"/>
    <w:rsid w:val="00E23EB3"/>
    <w:rsid w:val="00E33864"/>
    <w:rsid w:val="00E43EC1"/>
    <w:rsid w:val="00E45E23"/>
    <w:rsid w:val="00E57955"/>
    <w:rsid w:val="00E60842"/>
    <w:rsid w:val="00E84800"/>
    <w:rsid w:val="00E86431"/>
    <w:rsid w:val="00F00D14"/>
    <w:rsid w:val="00F0625E"/>
    <w:rsid w:val="00F11FBC"/>
    <w:rsid w:val="00F42A02"/>
    <w:rsid w:val="00F60B80"/>
    <w:rsid w:val="00F75F65"/>
    <w:rsid w:val="00F760DA"/>
    <w:rsid w:val="00F81119"/>
    <w:rsid w:val="00FB643A"/>
    <w:rsid w:val="00FC3B03"/>
    <w:rsid w:val="00FC7B70"/>
    <w:rsid w:val="00FD1333"/>
    <w:rsid w:val="00FD70E7"/>
    <w:rsid w:val="00F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5CDA46"/>
  <w15:chartTrackingRefBased/>
  <w15:docId w15:val="{CD89755F-678A-4B6C-99DB-912F0939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400"/>
    <w:rPr>
      <w:color w:val="808080"/>
    </w:rPr>
  </w:style>
  <w:style w:type="paragraph" w:styleId="Bibliography">
    <w:name w:val="Bibliography"/>
    <w:basedOn w:val="Normal"/>
    <w:next w:val="Normal"/>
    <w:uiPriority w:val="37"/>
    <w:unhideWhenUsed/>
    <w:rsid w:val="00CF6DA5"/>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webSettings" Target="webSettings.xml"/><Relationship Id="rId7" Type="http://schemas.openxmlformats.org/officeDocument/2006/relationships/image" Target="media/image3.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3188</Words>
  <Characters>18175</Characters>
  <Application>Microsoft Office Word</Application>
  <DocSecurity>0</DocSecurity>
  <Lines>151</Lines>
  <Paragraphs>42</Paragraphs>
  <ScaleCrop>false</ScaleCrop>
  <Company/>
  <LinksUpToDate>false</LinksUpToDate>
  <CharactersWithSpaces>21321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Brenden Eum</dc:creator>
  <cp:keywords/>
  <dc:description/>
  <cp:lastModifiedBy>Brenden Eum</cp:lastModifiedBy>
  <cp:revision>152</cp:revision>
  <dcterms:created xsi:type="dcterms:W3CDTF">2023-07-06T17:40:00Z</dcterms:created>
  <dcterms:modified xsi:type="dcterms:W3CDTF">2023-07-07T01:21:00Z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id="HGOt3jro"/&gt;&lt;style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