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E616" w14:textId="47D9B615" w:rsidR="00D00C46" w:rsidRDefault="00534E9A" w:rsidP="00604EA2">
      <w:pPr>
        <w:pStyle w:val="Title"/>
        <w:jc w:val="both"/>
      </w:pPr>
      <w:r>
        <w:t>Attentional Choice Biases in Losses Involve Range Normalization and Look Like Choices Between Gains</w:t>
      </w:r>
    </w:p>
    <w:p w14:paraId="60ECE1C0" w14:textId="77777777" w:rsidR="00534E9A" w:rsidRDefault="00534E9A" w:rsidP="00604EA2">
      <w:pPr>
        <w:jc w:val="both"/>
      </w:pPr>
    </w:p>
    <w:p w14:paraId="35F18084" w14:textId="453DC164" w:rsidR="00534E9A" w:rsidRDefault="00534E9A" w:rsidP="00604EA2">
      <w:pPr>
        <w:pStyle w:val="Subtitle"/>
        <w:jc w:val="both"/>
      </w:pPr>
      <w:r>
        <w:t>Brenden Eum</w:t>
      </w:r>
    </w:p>
    <w:p w14:paraId="0A2707B6" w14:textId="4E419DD2" w:rsidR="00534E9A" w:rsidRDefault="00534E9A" w:rsidP="00604EA2">
      <w:pPr>
        <w:pStyle w:val="Subtitle"/>
        <w:jc w:val="both"/>
      </w:pPr>
      <w:r>
        <w:t>Stephen Gonzalez</w:t>
      </w:r>
    </w:p>
    <w:p w14:paraId="13071B33" w14:textId="735720B6" w:rsidR="00534E9A" w:rsidRDefault="00534E9A" w:rsidP="00604EA2">
      <w:pPr>
        <w:pStyle w:val="Subtitle"/>
        <w:jc w:val="both"/>
      </w:pPr>
      <w:r>
        <w:t>Antonio Rangel</w:t>
      </w:r>
    </w:p>
    <w:p w14:paraId="70FB5D98" w14:textId="77777777" w:rsidR="00534E9A" w:rsidRDefault="00534E9A" w:rsidP="00604EA2">
      <w:pPr>
        <w:jc w:val="both"/>
      </w:pPr>
    </w:p>
    <w:p w14:paraId="6E1C457C" w14:textId="77777777" w:rsidR="00534E9A" w:rsidRDefault="00534E9A" w:rsidP="00604EA2">
      <w:pPr>
        <w:jc w:val="both"/>
      </w:pPr>
    </w:p>
    <w:p w14:paraId="72948538" w14:textId="77777777" w:rsidR="00534E9A" w:rsidRDefault="00534E9A" w:rsidP="00604EA2">
      <w:pPr>
        <w:jc w:val="both"/>
      </w:pPr>
    </w:p>
    <w:p w14:paraId="76786E6F" w14:textId="77777777" w:rsidR="00534E9A" w:rsidRDefault="00534E9A" w:rsidP="00604EA2">
      <w:pPr>
        <w:jc w:val="both"/>
      </w:pPr>
    </w:p>
    <w:p w14:paraId="055157DD" w14:textId="3372B17A" w:rsidR="00534E9A" w:rsidRDefault="00534E9A" w:rsidP="00604EA2">
      <w:pPr>
        <w:pStyle w:val="Heading1"/>
        <w:jc w:val="both"/>
      </w:pPr>
      <w:r>
        <w:t>Abstract</w:t>
      </w:r>
    </w:p>
    <w:p w14:paraId="30BCFC4A" w14:textId="77777777" w:rsidR="00534E9A" w:rsidRDefault="00534E9A" w:rsidP="00604EA2">
      <w:pPr>
        <w:jc w:val="both"/>
      </w:pPr>
    </w:p>
    <w:p w14:paraId="4A598B63" w14:textId="09313774" w:rsidR="00534E9A" w:rsidRDefault="00534E9A" w:rsidP="00604EA2">
      <w:pPr>
        <w:jc w:val="both"/>
      </w:pPr>
      <w:r>
        <w:t xml:space="preserve">Simple choices between </w:t>
      </w:r>
      <w:proofErr w:type="gramStart"/>
      <w:r>
        <w:t>positively-valued</w:t>
      </w:r>
      <w:proofErr w:type="gramEnd"/>
      <w:r>
        <w:t xml:space="preserve"> options are common in our daily lives and are susceptible to robust attentional choice biases. However, we also encounter choices between </w:t>
      </w:r>
      <w:proofErr w:type="gramStart"/>
      <w:r>
        <w:t>negatively-valued</w:t>
      </w:r>
      <w:proofErr w:type="gramEnd"/>
      <w:r>
        <w:t xml:space="preserve"> options. We find that in choices between losses, the same attentional choice biases from the gain domain </w:t>
      </w:r>
      <w:proofErr w:type="gramStart"/>
      <w:r>
        <w:t>still remain</w:t>
      </w:r>
      <w:proofErr w:type="gramEnd"/>
      <w:r>
        <w:t>. This is inexplicable with attentional discounting, unless the value comparison process involves some form of range normalization. We also find causal evidence that attentional manipulations affect value-based decisions.</w:t>
      </w:r>
    </w:p>
    <w:p w14:paraId="03FBFD3A" w14:textId="77777777" w:rsidR="00534E9A" w:rsidRDefault="00534E9A" w:rsidP="00604EA2">
      <w:pPr>
        <w:jc w:val="both"/>
      </w:pPr>
    </w:p>
    <w:p w14:paraId="0D533AAC" w14:textId="4CFE8A9C" w:rsidR="00534E9A" w:rsidRDefault="00534E9A" w:rsidP="00604EA2">
      <w:pPr>
        <w:jc w:val="both"/>
      </w:pPr>
      <w:r>
        <w:br w:type="page"/>
      </w:r>
    </w:p>
    <w:p w14:paraId="5C18705E" w14:textId="10B3798D" w:rsidR="00534E9A" w:rsidRDefault="00534E9A" w:rsidP="00604EA2">
      <w:pPr>
        <w:pStyle w:val="Heading1"/>
        <w:jc w:val="both"/>
      </w:pPr>
      <w:r w:rsidRPr="00534E9A">
        <w:lastRenderedPageBreak/>
        <w:t>Introduction</w:t>
      </w:r>
    </w:p>
    <w:p w14:paraId="0179BC0C" w14:textId="6F7CA4A9" w:rsidR="00534E9A" w:rsidRDefault="00534E9A" w:rsidP="00604EA2">
      <w:pPr>
        <w:jc w:val="both"/>
      </w:pPr>
    </w:p>
    <w:p w14:paraId="11CBA743" w14:textId="5AAAE59F" w:rsidR="00534E9A" w:rsidRDefault="00E741DA" w:rsidP="00604EA2">
      <w:pPr>
        <w:jc w:val="both"/>
      </w:pPr>
      <w:r>
        <w:t>Motivation &gt; Literature Review &gt; Research Question &gt; Short Description of Experiments &gt; Hypotheses &gt; Preview the Results</w:t>
      </w:r>
    </w:p>
    <w:p w14:paraId="1EB9F340" w14:textId="1A5A0AF9" w:rsidR="002616AD" w:rsidRDefault="002616AD" w:rsidP="00604EA2">
      <w:pPr>
        <w:jc w:val="both"/>
      </w:pPr>
      <w:r>
        <w:t>[[</w:t>
      </w:r>
      <w:proofErr w:type="spellStart"/>
      <w:r>
        <w:t>fig_task_dots</w:t>
      </w:r>
      <w:proofErr w:type="spellEnd"/>
      <w:r>
        <w:t>] [</w:t>
      </w:r>
      <w:proofErr w:type="spellStart"/>
      <w:r>
        <w:t>fig_task_numeric</w:t>
      </w:r>
      <w:proofErr w:type="spellEnd"/>
      <w:r>
        <w:t>] [</w:t>
      </w:r>
      <w:proofErr w:type="spellStart"/>
      <w:r>
        <w:t>fig_task_food</w:t>
      </w:r>
      <w:proofErr w:type="spellEnd"/>
      <w:r>
        <w:t>]]</w:t>
      </w:r>
    </w:p>
    <w:p w14:paraId="1D0AE882" w14:textId="77777777" w:rsidR="00CD2B57" w:rsidRDefault="00CD2B57" w:rsidP="00604EA2">
      <w:pPr>
        <w:jc w:val="both"/>
      </w:pPr>
    </w:p>
    <w:p w14:paraId="3230CA49" w14:textId="77777777" w:rsidR="00CD2B57" w:rsidRDefault="00CD2B57" w:rsidP="00604EA2">
      <w:pPr>
        <w:jc w:val="both"/>
      </w:pPr>
    </w:p>
    <w:p w14:paraId="2DCAB0F3" w14:textId="77777777" w:rsidR="00E741DA" w:rsidRDefault="00E741DA" w:rsidP="00604EA2">
      <w:pPr>
        <w:jc w:val="both"/>
      </w:pPr>
    </w:p>
    <w:p w14:paraId="2E749658" w14:textId="77777777" w:rsidR="00E741DA" w:rsidRDefault="00E741DA" w:rsidP="00604EA2">
      <w:pPr>
        <w:pStyle w:val="Heading1"/>
        <w:jc w:val="both"/>
      </w:pPr>
      <w:r>
        <w:t>Results</w:t>
      </w:r>
    </w:p>
    <w:p w14:paraId="708922C8" w14:textId="77777777" w:rsidR="00A33333" w:rsidRDefault="00A33333" w:rsidP="00604EA2">
      <w:pPr>
        <w:jc w:val="both"/>
      </w:pPr>
    </w:p>
    <w:p w14:paraId="21B06541" w14:textId="77777777" w:rsidR="00E741DA" w:rsidRDefault="00E741DA" w:rsidP="00604EA2">
      <w:pPr>
        <w:pStyle w:val="Heading2"/>
        <w:jc w:val="both"/>
      </w:pPr>
      <w:r>
        <w:t>Basic Psychometrics</w:t>
      </w:r>
    </w:p>
    <w:p w14:paraId="07292983" w14:textId="77777777" w:rsidR="00E741DA" w:rsidRDefault="00E741DA" w:rsidP="00604EA2">
      <w:pPr>
        <w:jc w:val="both"/>
      </w:pPr>
    </w:p>
    <w:p w14:paraId="1201EDAE" w14:textId="5D21021B" w:rsidR="00A33333" w:rsidRDefault="00EF293B" w:rsidP="00604EA2">
      <w:pPr>
        <w:jc w:val="both"/>
      </w:pPr>
      <w:r>
        <w:t>[</w:t>
      </w:r>
      <w:r w:rsidR="00A33333">
        <w:t>[</w:t>
      </w:r>
      <w:proofErr w:type="spellStart"/>
      <w:r w:rsidR="00A33333">
        <w:t>fig_psychometric_gl</w:t>
      </w:r>
      <w:proofErr w:type="spellEnd"/>
      <w:r w:rsidR="00A33333">
        <w:t>] [</w:t>
      </w:r>
      <w:proofErr w:type="spellStart"/>
      <w:r w:rsidR="00A33333">
        <w:t>fig_rt_gl</w:t>
      </w:r>
      <w:proofErr w:type="spellEnd"/>
      <w:r w:rsidR="00A33333">
        <w:t>]</w:t>
      </w:r>
      <w:r>
        <w:t xml:space="preserve"> [</w:t>
      </w:r>
      <w:proofErr w:type="spellStart"/>
      <w:r>
        <w:t>fig_nfix_gl</w:t>
      </w:r>
      <w:proofErr w:type="spellEnd"/>
      <w:r>
        <w:t>]]</w:t>
      </w:r>
    </w:p>
    <w:p w14:paraId="1AD8BD60" w14:textId="77777777" w:rsidR="00CD2B57" w:rsidRDefault="00CD2B57" w:rsidP="00604EA2">
      <w:pPr>
        <w:jc w:val="both"/>
      </w:pPr>
    </w:p>
    <w:p w14:paraId="186E3D62" w14:textId="77777777" w:rsidR="00CD2B57" w:rsidRDefault="00CD2B57" w:rsidP="00604EA2">
      <w:pPr>
        <w:jc w:val="both"/>
      </w:pPr>
    </w:p>
    <w:p w14:paraId="182C39DF" w14:textId="77777777" w:rsidR="00CD2B57" w:rsidRDefault="00CD2B57" w:rsidP="00604EA2">
      <w:pPr>
        <w:jc w:val="both"/>
      </w:pPr>
    </w:p>
    <w:p w14:paraId="7F5543B6" w14:textId="77777777" w:rsidR="00CD2B57" w:rsidRDefault="00CD2B57" w:rsidP="00604EA2">
      <w:pPr>
        <w:jc w:val="both"/>
      </w:pPr>
    </w:p>
    <w:p w14:paraId="1D5DB631" w14:textId="77777777" w:rsidR="00A33333" w:rsidRDefault="00A33333" w:rsidP="00604EA2">
      <w:pPr>
        <w:jc w:val="both"/>
      </w:pPr>
    </w:p>
    <w:p w14:paraId="512A3139" w14:textId="77777777" w:rsidR="00E741DA" w:rsidRDefault="00E741DA" w:rsidP="00604EA2">
      <w:pPr>
        <w:pStyle w:val="Heading2"/>
        <w:jc w:val="both"/>
      </w:pPr>
      <w:r>
        <w:t>Fixation Process</w:t>
      </w:r>
    </w:p>
    <w:p w14:paraId="7B2FCCDD" w14:textId="77777777" w:rsidR="00A33333" w:rsidRDefault="00A33333" w:rsidP="00604EA2">
      <w:pPr>
        <w:jc w:val="both"/>
      </w:pPr>
    </w:p>
    <w:p w14:paraId="08E3B23B" w14:textId="5182B59F" w:rsidR="00AD140F" w:rsidRDefault="00AD140F" w:rsidP="00604EA2">
      <w:pPr>
        <w:jc w:val="both"/>
      </w:pPr>
      <w:r>
        <w:t>[[</w:t>
      </w:r>
      <w:proofErr w:type="spellStart"/>
      <w:r>
        <w:t>fig_firstbest_gl</w:t>
      </w:r>
      <w:proofErr w:type="spellEnd"/>
      <w:r>
        <w:t>] [</w:t>
      </w:r>
      <w:proofErr w:type="spellStart"/>
      <w:r>
        <w:t>fig_fixdurtype_gl</w:t>
      </w:r>
      <w:proofErr w:type="spellEnd"/>
      <w:r>
        <w:t>] [</w:t>
      </w:r>
      <w:proofErr w:type="spellStart"/>
      <w:r>
        <w:t>fig_netfix_gl</w:t>
      </w:r>
      <w:proofErr w:type="spellEnd"/>
      <w:r>
        <w:t xml:space="preserve">]] *I want to cut out first and middle fixation durations </w:t>
      </w:r>
      <w:proofErr w:type="spellStart"/>
      <w:r>
        <w:t>wrt</w:t>
      </w:r>
      <w:proofErr w:type="spellEnd"/>
      <w:r>
        <w:t xml:space="preserve"> difficulty*</w:t>
      </w:r>
    </w:p>
    <w:p w14:paraId="5B7330F3" w14:textId="77777777" w:rsidR="00CD2B57" w:rsidRDefault="00CD2B57" w:rsidP="00604EA2">
      <w:pPr>
        <w:jc w:val="both"/>
      </w:pPr>
    </w:p>
    <w:p w14:paraId="76B5B4A0" w14:textId="77777777" w:rsidR="00CD2B57" w:rsidRDefault="00CD2B57" w:rsidP="00604EA2">
      <w:pPr>
        <w:jc w:val="both"/>
      </w:pPr>
    </w:p>
    <w:p w14:paraId="18137238" w14:textId="77777777" w:rsidR="00CD2B57" w:rsidRDefault="00CD2B57" w:rsidP="00604EA2">
      <w:pPr>
        <w:jc w:val="both"/>
      </w:pPr>
    </w:p>
    <w:p w14:paraId="0ADD1BB9" w14:textId="77777777" w:rsidR="00AD140F" w:rsidRDefault="00AD140F" w:rsidP="00604EA2">
      <w:pPr>
        <w:jc w:val="both"/>
      </w:pPr>
    </w:p>
    <w:p w14:paraId="37F79B0C" w14:textId="77777777" w:rsidR="00A33333" w:rsidRDefault="00A33333" w:rsidP="00604EA2">
      <w:pPr>
        <w:pStyle w:val="Heading2"/>
        <w:jc w:val="both"/>
      </w:pPr>
      <w:r>
        <w:t>Computational Model</w:t>
      </w:r>
    </w:p>
    <w:p w14:paraId="3103FBDE" w14:textId="77777777" w:rsidR="00A33333" w:rsidRDefault="00A33333" w:rsidP="00604EA2">
      <w:pPr>
        <w:jc w:val="both"/>
      </w:pPr>
    </w:p>
    <w:p w14:paraId="66868930" w14:textId="5B8F3105" w:rsidR="00107954" w:rsidRDefault="00107954" w:rsidP="00107954">
      <w:pPr>
        <w:jc w:val="both"/>
      </w:pPr>
      <w:r>
        <w:t>We use the Attentional Drift-Diffusion-Model (aDDM) to analyze choices and response times in the data. The model initializes a</w:t>
      </w:r>
      <w:r w:rsidR="002F38F7">
        <w:t xml:space="preserve"> Relative Decision V</w:t>
      </w:r>
      <w:r>
        <w:t xml:space="preserve">ariable, </w:t>
      </w:r>
      <m:oMath>
        <m:r>
          <w:rPr>
            <w:rFonts w:ascii="Cambria Math" w:hAnsi="Cambria Math"/>
          </w:rPr>
          <m:t>RDV</m:t>
        </m:r>
      </m:oMath>
      <w:r>
        <w:rPr>
          <w:rFonts w:eastAsiaTheme="minorEastAsia"/>
        </w:rPr>
        <w:t>,</w:t>
      </w:r>
      <w:r>
        <w:t xml:space="preserve"> at </w:t>
      </w:r>
      <m:oMath>
        <m:r>
          <w:rPr>
            <w:rFonts w:ascii="Cambria Math" w:hAnsi="Cambria Math"/>
          </w:rPr>
          <m:t>RD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>, called the starting point bias.</w:t>
      </w:r>
      <w:r>
        <w:t xml:space="preserve"> As the subject observes the stimuli, they gather and integrate evidence in favor of one option or the other until this evidence variable hits a decision boundary, fixed at </w:t>
      </w:r>
      <m:oMath>
        <m:r>
          <w:rPr>
            <w:rFonts w:ascii="Cambria Math" w:hAnsi="Cambria Math"/>
          </w:rPr>
          <m:t>±1</m:t>
        </m:r>
      </m:oMath>
      <w:r>
        <w:rPr>
          <w:rFonts w:eastAsiaTheme="minorEastAsia"/>
        </w:rPr>
        <w:t>:</w:t>
      </w:r>
    </w:p>
    <w:p w14:paraId="5249F37E" w14:textId="77777777" w:rsidR="00107954" w:rsidRDefault="00107954" w:rsidP="00107954">
      <w:pPr>
        <w:jc w:val="both"/>
      </w:pPr>
    </w:p>
    <w:p w14:paraId="5E39C359" w14:textId="6EEEB580" w:rsidR="00107954" w:rsidRDefault="00000000" w:rsidP="0010795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RDV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RDV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DCCE83C" w14:textId="77777777" w:rsidR="00107954" w:rsidRDefault="00107954" w:rsidP="00107954">
      <w:pPr>
        <w:jc w:val="both"/>
      </w:pPr>
    </w:p>
    <w:p w14:paraId="42FDF8AF" w14:textId="0454FF6C" w:rsidR="00107954" w:rsidRDefault="00107954" w:rsidP="00107954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∼N(0,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i.i.d. white Gaussian noise that captures noise in the decision process. If the subject is looking left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</w:t>
      </w:r>
      <w:r>
        <w:t>then</w:t>
      </w:r>
      <w:r w:rsidR="00E038C1">
        <w:t xml:space="preserve"> evidence at time </w:t>
      </w:r>
      <m:oMath>
        <m:r>
          <w:rPr>
            <w:rFonts w:ascii="Cambria Math" w:hAnsi="Cambria Math"/>
          </w:rPr>
          <m:t>t</m:t>
        </m:r>
      </m:oMath>
      <w:r w:rsidR="00E038C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8C1">
        <w:rPr>
          <w:rFonts w:eastAsiaTheme="minorEastAsia"/>
        </w:rPr>
        <w:t>, equals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-θE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t xml:space="preserve">. If the subject is looking right,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 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L,R</m:t>
            </m:r>
          </m:e>
        </m:d>
      </m:oMath>
      <w:r>
        <w:t xml:space="preserve"> is the expected value of the left and right lotteries, respectively. </w:t>
      </w:r>
      <m:oMath>
        <m:r>
          <w:rPr>
            <w:rFonts w:ascii="Cambria Math" w:hAnsi="Cambria Math"/>
          </w:rPr>
          <m:t xml:space="preserve">d </m:t>
        </m:r>
      </m:oMath>
      <w:r>
        <w:t>is the drift rate parameter, reflecting the amount of evidence the subject accumulates per discrete time-step (</w:t>
      </w:r>
      <w:proofErr w:type="gramStart"/>
      <w:r>
        <w:t>e.g.</w:t>
      </w:r>
      <w:proofErr w:type="gramEnd"/>
      <w:r>
        <w:t xml:space="preserve"> 10 </w:t>
      </w:r>
      <w:proofErr w:type="spellStart"/>
      <w:r>
        <w:t>ms</w:t>
      </w:r>
      <w:proofErr w:type="spellEnd"/>
      <w:r>
        <w:t xml:space="preserve">). </w:t>
      </w:r>
      <m:oMath>
        <m:r>
          <w:rPr>
            <w:rFonts w:ascii="Cambria Math" w:hAnsi="Cambria Math"/>
          </w:rPr>
          <m:t>θ∈[0,1]</m:t>
        </m:r>
      </m:oMath>
      <w:r>
        <w:rPr>
          <w:rFonts w:eastAsiaTheme="minorEastAsia"/>
        </w:rPr>
        <w:t xml:space="preserve"> </w:t>
      </w:r>
      <w:r>
        <w:t xml:space="preserve">is the attentional bias parameter, reflecting how </w:t>
      </w:r>
      <w:proofErr w:type="gramStart"/>
      <w:r>
        <w:t>subjects</w:t>
      </w:r>
      <w:proofErr w:type="gramEnd"/>
      <w:r>
        <w:t xml:space="preserve"> over-weight the value of the currently fixated option.</w:t>
      </w:r>
      <w:r w:rsidR="00E902EA">
        <w:t xml:space="preserve"> </w:t>
      </w:r>
      <w:r>
        <w:t xml:space="preserve">The aDDM nests the standard DDM </w:t>
      </w:r>
      <w:r w:rsidR="00E902EA">
        <w:fldChar w:fldCharType="begin"/>
      </w:r>
      <w:r w:rsidR="00E902EA">
        <w:instrText xml:space="preserve"> ADDIN ZOTERO_ITEM CSL_CITATION {"citationID":"bMJxeX3Z","properties":{"formattedCitation":"(Ratcliff et al., 2016)","plainCitation":"(Ratcliff et al., 2016)","noteIndex":0},"citationItems":[{"id":643,"uris":["http://zotero.org/users/8933003/items/K3UL42XX"],"itemData":{"id":643,"type":"article-journal","container-title":"Trends in Cognitive Sciences","DOI":"10.1016/j.tics.2016.01.007","ISSN":"13646613","issue":"4","journalAbbreviation":"Trends in Cognitive Sciences","language":"en","page":"260-281","source":"DOI.org (Crossref)","title":"Diffusion Decision Model: Current Issues and History","title-short":"Diffusion Decision Model","volume":"20","author":[{"family":"Ratcliff","given":"Roger"},{"family":"Smith","given":"Philip L."},{"family":"Brown","given":"Scott D."},{"family":"McKoon","given":"Gail"}],"issued":{"date-parts":[["2016",4]]}}}],"schema":"https://github.com/citation-style-language/schema/raw/master/csl-citation.json"} </w:instrText>
      </w:r>
      <w:r w:rsidR="00E902EA">
        <w:fldChar w:fldCharType="separate"/>
      </w:r>
      <w:r w:rsidR="00E902EA">
        <w:rPr>
          <w:noProof/>
        </w:rPr>
        <w:t>(Ratcliff et al., 2016)</w:t>
      </w:r>
      <w:r w:rsidR="00E902EA">
        <w:fldChar w:fldCharType="end"/>
      </w:r>
      <w:r w:rsidR="00E902EA">
        <w:t xml:space="preserve"> when </w:t>
      </w:r>
      <m:oMath>
        <m:r>
          <w:rPr>
            <w:rFonts w:ascii="Cambria Math" w:hAnsi="Cambria Math"/>
          </w:rPr>
          <m:t>θ=1</m:t>
        </m:r>
      </m:oMath>
      <w:r>
        <w:t>, implying no attentional bia</w:t>
      </w:r>
      <w:r w:rsidR="00E902EA">
        <w:t>s</w:t>
      </w:r>
      <w:r>
        <w:t>.</w:t>
      </w:r>
      <w:r w:rsidR="00E902EA">
        <w:t xml:space="preserve"> </w:t>
      </w:r>
      <w:r>
        <w:lastRenderedPageBreak/>
        <w:t>Note that the aDDM</w:t>
      </w:r>
      <w:r w:rsidR="00E902EA">
        <w:t xml:space="preserve"> here</w:t>
      </w:r>
      <w:r>
        <w:t xml:space="preserve"> assumes the fixation process is independent of the current state of evidence</w:t>
      </w:r>
      <w:r w:rsidR="00E902EA">
        <w:t xml:space="preserve">, though recent work has incorporated endogenous fixation patterns </w:t>
      </w:r>
      <w:r w:rsidR="00E902EA">
        <w:fldChar w:fldCharType="begin"/>
      </w:r>
      <w:r w:rsidR="00E902EA">
        <w:instrText xml:space="preserve"> ADDIN ZOTERO_ITEM CSL_CITATION {"citationID":"6tAxGpTl","properties":{"formattedCitation":"(Gluth et al., 2020)","plainCitation":"(Gluth et al., 2020)","noteIndex":0},"citationItems":[{"id":251,"uris":["http://zotero.org/users/8933003/items/AAA3JLQ5"],"itemData":{"id":251,"type":"article-journal","container-title":"Nature Human Behaviour","DOI":"10.1038/s41562-020-0822-0","ISSN":"2397-3374","issue":"6","journalAbbreviation":"Nat Hum Behav","language":"en","page":"634-645","source":"DOI.org (Crossref)","title":"Value-based attention but not divisive normalization influences decisions with multiple alternatives","volume":"4","author":[{"family":"Gluth","given":"Sebastian"},{"family":"Kern","given":"Nadja"},{"family":"Kortmann","given":"Maria"},{"family":"Vitali","given":"Cécile L."}],"issued":{"date-parts":[["2020",6]]}}}],"schema":"https://github.com/citation-style-language/schema/raw/master/csl-citation.json"} </w:instrText>
      </w:r>
      <w:r w:rsidR="00E902EA">
        <w:fldChar w:fldCharType="separate"/>
      </w:r>
      <w:r w:rsidR="00E902EA">
        <w:rPr>
          <w:noProof/>
        </w:rPr>
        <w:t>(Gluth et al., 2020)</w:t>
      </w:r>
      <w:r w:rsidR="00E902EA">
        <w:fldChar w:fldCharType="end"/>
      </w:r>
      <w:r w:rsidR="00E902EA">
        <w:t>.</w:t>
      </w:r>
    </w:p>
    <w:p w14:paraId="0AC13CB9" w14:textId="77777777" w:rsidR="002F38F7" w:rsidRDefault="002F38F7" w:rsidP="00107954">
      <w:pPr>
        <w:jc w:val="both"/>
      </w:pPr>
    </w:p>
    <w:p w14:paraId="591E9505" w14:textId="791896A2" w:rsidR="002F38F7" w:rsidRDefault="002F38F7" w:rsidP="00107954">
      <w:pPr>
        <w:jc w:val="both"/>
        <w:rPr>
          <w:rFonts w:eastAsiaTheme="minorEastAsia"/>
        </w:rPr>
      </w:pPr>
      <w:r>
        <w:t xml:space="preserve">Because </w:t>
      </w:r>
      <m:oMath>
        <m:r>
          <w:rPr>
            <w:rFonts w:ascii="Cambria Math" w:hAnsi="Cambria Math"/>
          </w:rPr>
          <m:t>θ∈[0,1]</m:t>
        </m:r>
      </m:oMath>
      <w:r>
        <w:rPr>
          <w:rFonts w:eastAsiaTheme="minorEastAsia"/>
        </w:rPr>
        <w:t xml:space="preserve">, when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 </w:t>
      </w:r>
      <w:r w:rsidR="00E038C1">
        <w:rPr>
          <w:rFonts w:eastAsiaTheme="minorEastAsia"/>
        </w:rPr>
        <w:t xml:space="preserve">steam of </w:t>
      </w:r>
      <m:oMath>
        <m:r>
          <w:rPr>
            <w:rFonts w:ascii="Cambria Math" w:eastAsiaTheme="minorEastAsia" w:hAnsi="Cambria Math"/>
          </w:rPr>
          <m:t>RDV</m:t>
        </m:r>
      </m:oMath>
      <w:r w:rsidR="00E038C1">
        <w:rPr>
          <w:rFonts w:eastAsiaTheme="minorEastAsia"/>
        </w:rPr>
        <w:t xml:space="preserve"> is biased towards the fixated option (</w:t>
      </w:r>
      <w:r w:rsidR="000F6A2B" w:rsidRPr="000F6A2B">
        <w:rPr>
          <w:rFonts w:eastAsiaTheme="minorEastAsia"/>
        </w:rPr>
        <w:fldChar w:fldCharType="begin"/>
      </w:r>
      <w:r w:rsidR="000F6A2B" w:rsidRPr="000F6A2B">
        <w:rPr>
          <w:rFonts w:eastAsiaTheme="minorEastAsia"/>
        </w:rPr>
        <w:instrText xml:space="preserve"> REF _Ref155954574 \h  \* MERGEFORMAT </w:instrText>
      </w:r>
      <w:r w:rsidR="000F6A2B" w:rsidRPr="000F6A2B">
        <w:rPr>
          <w:rFonts w:eastAsiaTheme="minorEastAsia"/>
        </w:rPr>
      </w:r>
      <w:r w:rsidR="000F6A2B" w:rsidRPr="000F6A2B">
        <w:rPr>
          <w:rFonts w:eastAsiaTheme="minorEastAsia"/>
        </w:rPr>
        <w:fldChar w:fldCharType="separate"/>
      </w:r>
      <w:r w:rsidR="00C305C0" w:rsidRPr="000F6A2B">
        <w:t xml:space="preserve">Fig. </w:t>
      </w:r>
      <w:r w:rsidR="00C305C0">
        <w:rPr>
          <w:noProof/>
        </w:rPr>
        <w:t>1</w:t>
      </w:r>
      <w:r w:rsidR="000F6A2B" w:rsidRPr="000F6A2B">
        <w:rPr>
          <w:rFonts w:eastAsiaTheme="minorEastAsia"/>
        </w:rPr>
        <w:fldChar w:fldCharType="end"/>
      </w:r>
      <w:r w:rsidR="00C305C0">
        <w:rPr>
          <w:rFonts w:eastAsiaTheme="minorEastAsia"/>
        </w:rPr>
        <w:t>a</w:t>
      </w:r>
      <w:r w:rsidR="000F6A2B">
        <w:rPr>
          <w:rFonts w:eastAsiaTheme="minorEastAsia"/>
        </w:rPr>
        <w:t>)</w:t>
      </w:r>
      <w:r w:rsidR="00C305C0">
        <w:rPr>
          <w:rFonts w:eastAsiaTheme="minorEastAsia"/>
        </w:rPr>
        <w:t>, and thus the aDDM would predict that the agent is more likely to choose the more fixated option and last fixated option (</w:t>
      </w:r>
      <w:r w:rsidR="00C305C0">
        <w:rPr>
          <w:rFonts w:eastAsiaTheme="minorEastAsia"/>
        </w:rPr>
        <w:fldChar w:fldCharType="begin"/>
      </w:r>
      <w:r w:rsidR="00C305C0">
        <w:rPr>
          <w:rFonts w:eastAsiaTheme="minorEastAsia"/>
        </w:rPr>
        <w:instrText xml:space="preserve"> REF _Ref155954574 \h </w:instrText>
      </w:r>
      <w:r w:rsidR="00C305C0">
        <w:rPr>
          <w:rFonts w:eastAsiaTheme="minorEastAsia"/>
        </w:rPr>
      </w:r>
      <w:r w:rsidR="00C305C0">
        <w:rPr>
          <w:rFonts w:eastAsiaTheme="minorEastAsia"/>
        </w:rPr>
        <w:fldChar w:fldCharType="separate"/>
      </w:r>
      <w:r w:rsidR="00C305C0" w:rsidRPr="000F6A2B">
        <w:t xml:space="preserve">Fig. </w:t>
      </w:r>
      <w:r w:rsidR="00C305C0">
        <w:rPr>
          <w:noProof/>
        </w:rPr>
        <w:t>1</w:t>
      </w:r>
      <w:r w:rsidR="00C305C0">
        <w:rPr>
          <w:rFonts w:eastAsiaTheme="minorEastAsia"/>
        </w:rPr>
        <w:fldChar w:fldCharType="end"/>
      </w:r>
      <w:r w:rsidR="00C305C0">
        <w:rPr>
          <w:rFonts w:eastAsiaTheme="minorEastAsia"/>
        </w:rPr>
        <w:t>c)</w:t>
      </w:r>
      <w:r w:rsidR="000F6A2B">
        <w:rPr>
          <w:rFonts w:eastAsiaTheme="minorEastAsia"/>
        </w:rPr>
        <w:t>.</w:t>
      </w:r>
      <w:r w:rsidR="00C305C0">
        <w:rPr>
          <w:rFonts w:eastAsiaTheme="minorEastAsia"/>
        </w:rPr>
        <w:t xml:space="preserve"> However, </w:t>
      </w:r>
      <w:r w:rsidR="00C305C0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C305C0">
        <w:rPr>
          <w:rFonts w:eastAsiaTheme="minorEastAsia"/>
        </w:rPr>
        <w:t xml:space="preserve">, the steam of </w:t>
      </w:r>
      <m:oMath>
        <m:r>
          <w:rPr>
            <w:rFonts w:ascii="Cambria Math" w:eastAsiaTheme="minorEastAsia" w:hAnsi="Cambria Math"/>
          </w:rPr>
          <m:t>RDV</m:t>
        </m:r>
      </m:oMath>
      <w:r w:rsidR="00C305C0">
        <w:rPr>
          <w:rFonts w:eastAsiaTheme="minorEastAsia"/>
        </w:rPr>
        <w:t xml:space="preserve"> is </w:t>
      </w:r>
      <w:r w:rsidR="00C305C0">
        <w:rPr>
          <w:rFonts w:eastAsiaTheme="minorEastAsia"/>
        </w:rPr>
        <w:t xml:space="preserve">instead </w:t>
      </w:r>
      <w:r w:rsidR="00C305C0">
        <w:rPr>
          <w:rFonts w:eastAsiaTheme="minorEastAsia"/>
        </w:rPr>
        <w:t xml:space="preserve">biased towards the </w:t>
      </w:r>
      <w:proofErr w:type="spellStart"/>
      <w:r w:rsidR="00C305C0">
        <w:rPr>
          <w:rFonts w:eastAsiaTheme="minorEastAsia"/>
        </w:rPr>
        <w:t>non</w:t>
      </w:r>
      <w:r w:rsidR="00C305C0">
        <w:rPr>
          <w:rFonts w:eastAsiaTheme="minorEastAsia"/>
        </w:rPr>
        <w:t>fixated</w:t>
      </w:r>
      <w:proofErr w:type="spellEnd"/>
      <w:r w:rsidR="00C305C0">
        <w:rPr>
          <w:rFonts w:eastAsiaTheme="minorEastAsia"/>
        </w:rPr>
        <w:t xml:space="preserve"> option (see </w:t>
      </w:r>
      <w:r w:rsidR="00C305C0" w:rsidRPr="000F6A2B">
        <w:rPr>
          <w:rFonts w:eastAsiaTheme="minorEastAsia"/>
        </w:rPr>
        <w:fldChar w:fldCharType="begin"/>
      </w:r>
      <w:r w:rsidR="00C305C0" w:rsidRPr="000F6A2B">
        <w:rPr>
          <w:rFonts w:eastAsiaTheme="minorEastAsia"/>
        </w:rPr>
        <w:instrText xml:space="preserve"> REF _Ref155954574 \h  \* MERGEFORMAT </w:instrText>
      </w:r>
      <w:r w:rsidR="00C305C0" w:rsidRPr="000F6A2B">
        <w:rPr>
          <w:rFonts w:eastAsiaTheme="minorEastAsia"/>
        </w:rPr>
      </w:r>
      <w:r w:rsidR="00C305C0" w:rsidRPr="000F6A2B">
        <w:rPr>
          <w:rFonts w:eastAsiaTheme="minorEastAsia"/>
        </w:rPr>
        <w:fldChar w:fldCharType="separate"/>
      </w:r>
      <w:r w:rsidR="00C305C0" w:rsidRPr="000F6A2B">
        <w:t xml:space="preserve">Fig. </w:t>
      </w:r>
      <w:r w:rsidR="00C305C0">
        <w:rPr>
          <w:noProof/>
        </w:rPr>
        <w:t>1</w:t>
      </w:r>
      <w:r w:rsidR="00C305C0" w:rsidRPr="000F6A2B">
        <w:rPr>
          <w:rFonts w:eastAsiaTheme="minorEastAsia"/>
        </w:rPr>
        <w:fldChar w:fldCharType="end"/>
      </w:r>
      <w:r w:rsidR="00C305C0">
        <w:rPr>
          <w:rFonts w:eastAsiaTheme="minorEastAsia"/>
        </w:rPr>
        <w:t>b</w:t>
      </w:r>
      <w:r w:rsidR="00C305C0">
        <w:rPr>
          <w:rFonts w:eastAsiaTheme="minorEastAsia"/>
        </w:rPr>
        <w:t>)</w:t>
      </w:r>
      <w:r w:rsidR="00C305C0">
        <w:rPr>
          <w:rFonts w:eastAsiaTheme="minorEastAsia"/>
        </w:rPr>
        <w:t>, so</w:t>
      </w:r>
      <w:r w:rsidR="00C305C0">
        <w:rPr>
          <w:rFonts w:eastAsiaTheme="minorEastAsia"/>
        </w:rPr>
        <w:t xml:space="preserve"> the aDDM would predict </w:t>
      </w:r>
      <w:r w:rsidR="00667539">
        <w:rPr>
          <w:rFonts w:eastAsiaTheme="minorEastAsia"/>
        </w:rPr>
        <w:t xml:space="preserve">a flip in </w:t>
      </w:r>
      <w:r w:rsidR="00C305C0">
        <w:rPr>
          <w:rFonts w:eastAsiaTheme="minorEastAsia"/>
        </w:rPr>
        <w:t xml:space="preserve">these attentional choice biases </w:t>
      </w:r>
      <w:r w:rsidR="00C305C0">
        <w:rPr>
          <w:rFonts w:eastAsiaTheme="minorEastAsia"/>
        </w:rPr>
        <w:t xml:space="preserve">(see </w:t>
      </w:r>
      <w:r w:rsidR="00C305C0">
        <w:rPr>
          <w:rFonts w:eastAsiaTheme="minorEastAsia"/>
        </w:rPr>
        <w:fldChar w:fldCharType="begin"/>
      </w:r>
      <w:r w:rsidR="00C305C0">
        <w:rPr>
          <w:rFonts w:eastAsiaTheme="minorEastAsia"/>
        </w:rPr>
        <w:instrText xml:space="preserve"> REF _Ref155954574 \h </w:instrText>
      </w:r>
      <w:r w:rsidR="00C305C0">
        <w:rPr>
          <w:rFonts w:eastAsiaTheme="minorEastAsia"/>
        </w:rPr>
      </w:r>
      <w:r w:rsidR="00C305C0">
        <w:rPr>
          <w:rFonts w:eastAsiaTheme="minorEastAsia"/>
        </w:rPr>
        <w:fldChar w:fldCharType="separate"/>
      </w:r>
      <w:r w:rsidR="00C305C0" w:rsidRPr="000F6A2B">
        <w:t xml:space="preserve">Fig. </w:t>
      </w:r>
      <w:r w:rsidR="00C305C0">
        <w:rPr>
          <w:noProof/>
        </w:rPr>
        <w:t>1</w:t>
      </w:r>
      <w:r w:rsidR="00C305C0">
        <w:rPr>
          <w:rFonts w:eastAsiaTheme="minorEastAsia"/>
        </w:rPr>
        <w:fldChar w:fldCharType="end"/>
      </w:r>
      <w:r w:rsidR="00C305C0">
        <w:rPr>
          <w:rFonts w:eastAsiaTheme="minorEastAsia"/>
        </w:rPr>
        <w:t>d</w:t>
      </w:r>
      <w:r w:rsidR="00C305C0">
        <w:rPr>
          <w:rFonts w:eastAsiaTheme="minorEastAsia"/>
        </w:rPr>
        <w:t>)</w:t>
      </w:r>
      <w:r w:rsidR="00C305C0">
        <w:rPr>
          <w:rFonts w:eastAsiaTheme="minorEastAsia"/>
        </w:rPr>
        <w:t>.</w:t>
      </w:r>
    </w:p>
    <w:p w14:paraId="28DF2698" w14:textId="760DB48D" w:rsidR="00E038C1" w:rsidRDefault="00E038C1" w:rsidP="00E038C1">
      <w:pPr>
        <w:keepNext/>
        <w:jc w:val="both"/>
      </w:pPr>
    </w:p>
    <w:p w14:paraId="7BE2C337" w14:textId="0A71EE29" w:rsidR="00C305C0" w:rsidRDefault="00C305C0" w:rsidP="00E038C1">
      <w:pPr>
        <w:keepNext/>
        <w:jc w:val="both"/>
      </w:pPr>
      <w:r>
        <w:t>a</w:t>
      </w:r>
      <w:r>
        <w:rPr>
          <w:noProof/>
        </w:rPr>
        <w:drawing>
          <wp:inline distT="0" distB="0" distL="0" distR="0" wp14:anchorId="2F4A5709" wp14:editId="3CCB43B6">
            <wp:extent cx="2743200" cy="1828800"/>
            <wp:effectExtent l="0" t="0" r="0" b="0"/>
            <wp:docPr id="1070601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01797" name="Picture 1070601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</w:t>
      </w:r>
      <w:r>
        <w:rPr>
          <w:noProof/>
        </w:rPr>
        <w:drawing>
          <wp:inline distT="0" distB="0" distL="0" distR="0" wp14:anchorId="5E981E39" wp14:editId="2576520F">
            <wp:extent cx="2743200" cy="1828800"/>
            <wp:effectExtent l="0" t="0" r="0" b="0"/>
            <wp:docPr id="139106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057" name="Picture 139106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2A1F" w14:textId="296603F1" w:rsidR="006B7976" w:rsidRDefault="00E038C1" w:rsidP="0063502D">
      <w:pPr>
        <w:pStyle w:val="Caption"/>
        <w:keepNext/>
        <w:jc w:val="both"/>
      </w:pPr>
      <w:bookmarkStart w:id="0" w:name="_Ref155954574"/>
      <w:r w:rsidRPr="000F6A2B">
        <w:t xml:space="preserve">Fig. </w:t>
      </w:r>
      <w:fldSimple w:instr=" SEQ Fig. \* ARABIC ">
        <w:r w:rsidR="00C305C0">
          <w:rPr>
            <w:noProof/>
          </w:rPr>
          <w:t>1</w:t>
        </w:r>
      </w:fldSimple>
      <w:bookmarkStart w:id="1" w:name="_Ref155954248"/>
      <w:bookmarkEnd w:id="0"/>
      <w:r w:rsidRPr="000F6A2B">
        <w:t xml:space="preserve">. aDDM </w:t>
      </w:r>
      <w:r w:rsidR="000F6A2B" w:rsidRPr="000F6A2B">
        <w:t>examples.</w:t>
      </w:r>
      <w:r w:rsidRPr="000F6A2B">
        <w:t xml:space="preserve"> (a) An illustration of how the Attentional Drift-Diffusion-Model</w:t>
      </w:r>
      <w:r w:rsidR="000F6A2B" w:rsidRPr="000F6A2B">
        <w:t xml:space="preserve"> (aDDM)</w:t>
      </w:r>
      <w:r w:rsidRPr="000F6A2B">
        <w:t xml:space="preserve"> makes decisions in a s</w:t>
      </w:r>
      <w:r w:rsidR="000F6A2B" w:rsidRPr="000F6A2B">
        <w:t>a</w:t>
      </w:r>
      <w:r w:rsidRPr="000F6A2B">
        <w:t>mple trial involving gains.</w:t>
      </w:r>
      <w:r w:rsidR="000F6A2B" w:rsidRPr="000F6A2B">
        <w:t xml:space="preserve"> (b) A similar illustration, but in a </w:t>
      </w:r>
      <w:proofErr w:type="gramStart"/>
      <w:r w:rsidR="000F6A2B" w:rsidRPr="000F6A2B">
        <w:t>sample</w:t>
      </w:r>
      <w:proofErr w:type="gramEnd"/>
      <w:r w:rsidR="000F6A2B" w:rsidRPr="000F6A2B">
        <w:t xml:space="preserve"> trial involving losses.</w:t>
      </w:r>
      <w:r w:rsidRPr="000F6A2B">
        <w:t xml:space="preserve"> Colored vertical bands denote fixation locations.</w:t>
      </w:r>
      <w:bookmarkEnd w:id="1"/>
      <w:r w:rsidRPr="000F6A2B">
        <w:t xml:space="preserve"> </w:t>
      </w:r>
    </w:p>
    <w:p w14:paraId="2CD5CBC9" w14:textId="77777777" w:rsidR="006B7976" w:rsidRPr="006B7976" w:rsidRDefault="006B7976" w:rsidP="006B7976"/>
    <w:p w14:paraId="68553F85" w14:textId="77777777" w:rsidR="00107954" w:rsidRDefault="00107954" w:rsidP="00107954">
      <w:pPr>
        <w:jc w:val="both"/>
      </w:pPr>
    </w:p>
    <w:p w14:paraId="0CCBA1D5" w14:textId="77777777" w:rsidR="0063502D" w:rsidRDefault="0063502D" w:rsidP="00107954">
      <w:pPr>
        <w:jc w:val="both"/>
      </w:pPr>
    </w:p>
    <w:p w14:paraId="1AB510CF" w14:textId="77777777" w:rsidR="0063502D" w:rsidRDefault="0063502D" w:rsidP="00107954">
      <w:pPr>
        <w:jc w:val="both"/>
      </w:pPr>
    </w:p>
    <w:p w14:paraId="067B0190" w14:textId="74E6F669" w:rsidR="00A33333" w:rsidRDefault="00A33333" w:rsidP="00107954">
      <w:pPr>
        <w:jc w:val="both"/>
      </w:pPr>
      <w:r>
        <w:t xml:space="preserve"> </w:t>
      </w:r>
      <w:r w:rsidR="00EF293B">
        <w:t>[</w:t>
      </w:r>
      <w:r>
        <w:t>[</w:t>
      </w:r>
      <w:proofErr w:type="spellStart"/>
      <w:r>
        <w:t>fig_addm_example_gain</w:t>
      </w:r>
      <w:proofErr w:type="spellEnd"/>
      <w:r>
        <w:t>] [</w:t>
      </w:r>
      <w:proofErr w:type="spellStart"/>
      <w:r>
        <w:t>fig_addm_example_loss</w:t>
      </w:r>
      <w:proofErr w:type="spellEnd"/>
      <w:r>
        <w:t>]</w:t>
      </w:r>
      <w:r w:rsidR="002A6F7C">
        <w:t xml:space="preserve"> [</w:t>
      </w:r>
      <w:proofErr w:type="spellStart"/>
      <w:r w:rsidR="002A6F7C">
        <w:t>fig_addm_nfb</w:t>
      </w:r>
      <w:proofErr w:type="spellEnd"/>
      <w:r w:rsidR="002A6F7C">
        <w:t>] [</w:t>
      </w:r>
      <w:proofErr w:type="spellStart"/>
      <w:r w:rsidR="002A6F7C">
        <w:t>fig_addm_lfb</w:t>
      </w:r>
      <w:proofErr w:type="spellEnd"/>
      <w:r w:rsidR="002A6F7C">
        <w:t>]</w:t>
      </w:r>
      <w:r w:rsidR="00EF293B">
        <w:t>]</w:t>
      </w:r>
    </w:p>
    <w:p w14:paraId="63DF04C3" w14:textId="77777777" w:rsidR="00CD2B57" w:rsidRDefault="00CD2B57" w:rsidP="00604EA2">
      <w:pPr>
        <w:jc w:val="both"/>
      </w:pPr>
    </w:p>
    <w:p w14:paraId="45182826" w14:textId="77777777" w:rsidR="00CD2B57" w:rsidRDefault="00CD2B57" w:rsidP="00604EA2">
      <w:pPr>
        <w:jc w:val="both"/>
      </w:pPr>
    </w:p>
    <w:p w14:paraId="1F70ADB4" w14:textId="77777777" w:rsidR="00CD2B57" w:rsidRPr="00A33333" w:rsidRDefault="00CD2B57" w:rsidP="00604EA2">
      <w:pPr>
        <w:jc w:val="both"/>
      </w:pPr>
    </w:p>
    <w:p w14:paraId="5265653D" w14:textId="77777777" w:rsidR="00A33333" w:rsidRDefault="00A33333" w:rsidP="00604EA2">
      <w:pPr>
        <w:jc w:val="both"/>
      </w:pPr>
    </w:p>
    <w:p w14:paraId="373454C5" w14:textId="54B8088C" w:rsidR="00E741DA" w:rsidRDefault="00A33333" w:rsidP="00604EA2">
      <w:pPr>
        <w:pStyle w:val="Heading2"/>
        <w:jc w:val="both"/>
      </w:pPr>
      <w:r>
        <w:t>Choice Biases (Study 1, 2, and 3)</w:t>
      </w:r>
    </w:p>
    <w:p w14:paraId="1EDC11ED" w14:textId="77777777" w:rsidR="00E741DA" w:rsidRDefault="00E741DA" w:rsidP="00604EA2">
      <w:pPr>
        <w:jc w:val="both"/>
      </w:pPr>
    </w:p>
    <w:p w14:paraId="688AE799" w14:textId="56ACADF4" w:rsidR="0047157F" w:rsidRDefault="0047157F" w:rsidP="00604EA2">
      <w:pPr>
        <w:jc w:val="both"/>
      </w:pPr>
      <w:r>
        <w:t>[[</w:t>
      </w:r>
      <w:proofErr w:type="spellStart"/>
      <w:r>
        <w:t>fig_nfb</w:t>
      </w:r>
      <w:proofErr w:type="spellEnd"/>
      <w:r>
        <w:t>] [</w:t>
      </w:r>
      <w:proofErr w:type="spellStart"/>
      <w:r>
        <w:t>fig_lfb</w:t>
      </w:r>
      <w:proofErr w:type="spellEnd"/>
      <w:r>
        <w:t>]]</w:t>
      </w:r>
    </w:p>
    <w:p w14:paraId="4DC66D87" w14:textId="77777777" w:rsidR="00CD2B57" w:rsidRDefault="00CD2B57" w:rsidP="00604EA2">
      <w:pPr>
        <w:jc w:val="both"/>
      </w:pPr>
    </w:p>
    <w:p w14:paraId="42443F34" w14:textId="77777777" w:rsidR="00CD2B57" w:rsidRDefault="00CD2B57" w:rsidP="00604EA2">
      <w:pPr>
        <w:jc w:val="both"/>
      </w:pPr>
    </w:p>
    <w:p w14:paraId="6D526004" w14:textId="77777777" w:rsidR="00CD2B57" w:rsidRDefault="00CD2B57" w:rsidP="00604EA2">
      <w:pPr>
        <w:jc w:val="both"/>
      </w:pPr>
    </w:p>
    <w:p w14:paraId="4479A5CA" w14:textId="77777777" w:rsidR="0047157F" w:rsidRDefault="0047157F" w:rsidP="00604EA2">
      <w:pPr>
        <w:jc w:val="both"/>
      </w:pPr>
    </w:p>
    <w:p w14:paraId="7A0A81E5" w14:textId="168C3C8C" w:rsidR="00E741DA" w:rsidRDefault="00E741DA" w:rsidP="00604EA2">
      <w:pPr>
        <w:pStyle w:val="Heading2"/>
        <w:jc w:val="both"/>
      </w:pPr>
      <w:r>
        <w:t>R</w:t>
      </w:r>
      <w:r w:rsidR="0047157F">
        <w:t xml:space="preserve">ange Normalized </w:t>
      </w:r>
      <w:r>
        <w:t>aDDM</w:t>
      </w:r>
      <w:r w:rsidR="0047157F">
        <w:t xml:space="preserve"> (RNaDDM)</w:t>
      </w:r>
    </w:p>
    <w:p w14:paraId="6DAE5C44" w14:textId="77777777" w:rsidR="0047157F" w:rsidRDefault="0047157F" w:rsidP="00604EA2">
      <w:pPr>
        <w:jc w:val="both"/>
      </w:pPr>
    </w:p>
    <w:p w14:paraId="0A7ECC64" w14:textId="6C076174" w:rsidR="0047157F" w:rsidRDefault="0047157F" w:rsidP="00604EA2">
      <w:pPr>
        <w:jc w:val="both"/>
      </w:pPr>
      <w:r>
        <w:t>Brief descriptions of the different models we tried. Most of the details should go into supplementary.</w:t>
      </w:r>
    </w:p>
    <w:p w14:paraId="6179A45A" w14:textId="4A60DC8C" w:rsidR="0047157F" w:rsidRDefault="0047157F" w:rsidP="00604EA2">
      <w:pPr>
        <w:jc w:val="both"/>
      </w:pPr>
      <w:r>
        <w:t>[</w:t>
      </w:r>
      <w:proofErr w:type="spellStart"/>
      <w:r>
        <w:t>tab_model_comparison</w:t>
      </w:r>
      <w:proofErr w:type="spellEnd"/>
      <w:r>
        <w:t>]</w:t>
      </w:r>
    </w:p>
    <w:p w14:paraId="0E0887A8" w14:textId="44E2BC61" w:rsidR="000A345D" w:rsidRDefault="000A345D" w:rsidP="00604EA2">
      <w:pPr>
        <w:jc w:val="both"/>
      </w:pPr>
      <w:r>
        <w:t>[</w:t>
      </w:r>
      <w:proofErr w:type="spellStart"/>
      <w:r>
        <w:t>tab_addm_groupestimates</w:t>
      </w:r>
      <w:proofErr w:type="spellEnd"/>
      <w:r>
        <w:t>]</w:t>
      </w:r>
    </w:p>
    <w:p w14:paraId="5FF5BD5F" w14:textId="738C1E77" w:rsidR="0047157F" w:rsidRDefault="0047157F" w:rsidP="00604EA2">
      <w:pPr>
        <w:jc w:val="both"/>
      </w:pPr>
      <w:r>
        <w:lastRenderedPageBreak/>
        <w:t>[[</w:t>
      </w:r>
      <w:proofErr w:type="spellStart"/>
      <w:r>
        <w:t>fig_rnaddm_individualestimates</w:t>
      </w:r>
      <w:proofErr w:type="spellEnd"/>
      <w:r>
        <w:t>] [</w:t>
      </w:r>
      <w:proofErr w:type="spellStart"/>
      <w:r>
        <w:t>fig_rnaddm_simulations</w:t>
      </w:r>
      <w:proofErr w:type="spellEnd"/>
      <w:r>
        <w:t>]]</w:t>
      </w:r>
    </w:p>
    <w:p w14:paraId="396E3E62" w14:textId="77777777" w:rsidR="00CD2B57" w:rsidRDefault="00CD2B57" w:rsidP="00604EA2">
      <w:pPr>
        <w:jc w:val="both"/>
      </w:pPr>
    </w:p>
    <w:p w14:paraId="47A99525" w14:textId="77777777" w:rsidR="00CD2B57" w:rsidRDefault="00CD2B57" w:rsidP="00604EA2">
      <w:pPr>
        <w:jc w:val="both"/>
      </w:pPr>
    </w:p>
    <w:p w14:paraId="4EE55E93" w14:textId="77777777" w:rsidR="00CD2B57" w:rsidRDefault="00CD2B57" w:rsidP="00604EA2">
      <w:pPr>
        <w:jc w:val="both"/>
      </w:pPr>
    </w:p>
    <w:p w14:paraId="12565CA6" w14:textId="77777777" w:rsidR="00CD2B57" w:rsidRDefault="00CD2B57" w:rsidP="00604EA2">
      <w:pPr>
        <w:jc w:val="both"/>
      </w:pPr>
    </w:p>
    <w:p w14:paraId="5B14E285" w14:textId="77777777" w:rsidR="00CD2B57" w:rsidRDefault="00CD2B57" w:rsidP="00604EA2">
      <w:pPr>
        <w:jc w:val="both"/>
      </w:pPr>
    </w:p>
    <w:p w14:paraId="62662D9F" w14:textId="77777777" w:rsidR="00CD2B57" w:rsidRPr="0047157F" w:rsidRDefault="00CD2B57" w:rsidP="00604EA2">
      <w:pPr>
        <w:jc w:val="both"/>
      </w:pPr>
    </w:p>
    <w:p w14:paraId="00262FD2" w14:textId="77777777" w:rsidR="00E741DA" w:rsidRDefault="00E741DA" w:rsidP="00604EA2">
      <w:pPr>
        <w:jc w:val="both"/>
      </w:pPr>
    </w:p>
    <w:p w14:paraId="09FE40D9" w14:textId="48FD1B45" w:rsidR="00E741DA" w:rsidRPr="00E741DA" w:rsidRDefault="00E741DA" w:rsidP="00604EA2">
      <w:pPr>
        <w:pStyle w:val="Heading2"/>
        <w:jc w:val="both"/>
      </w:pPr>
      <w:r>
        <w:t>Attentional Manipulations</w:t>
      </w:r>
    </w:p>
    <w:p w14:paraId="3206A341" w14:textId="69D19D28" w:rsidR="00534E9A" w:rsidRDefault="00534E9A" w:rsidP="00604EA2">
      <w:pPr>
        <w:jc w:val="both"/>
      </w:pPr>
    </w:p>
    <w:p w14:paraId="1903FC92" w14:textId="19535ADE" w:rsidR="0047157F" w:rsidRDefault="0047157F" w:rsidP="00604EA2">
      <w:pPr>
        <w:jc w:val="both"/>
      </w:pPr>
      <w:r>
        <w:t>[[</w:t>
      </w:r>
      <w:proofErr w:type="spellStart"/>
      <w:r>
        <w:t>fig_psychometric_fixcross</w:t>
      </w:r>
      <w:proofErr w:type="spellEnd"/>
      <w:r>
        <w:t>] [</w:t>
      </w:r>
      <w:proofErr w:type="spellStart"/>
      <w:r>
        <w:t>fig_netfix_fixcross</w:t>
      </w:r>
      <w:proofErr w:type="spellEnd"/>
      <w:r>
        <w:t>] [</w:t>
      </w:r>
      <w:proofErr w:type="spellStart"/>
      <w:r>
        <w:t>fig_lfb_fixcross</w:t>
      </w:r>
      <w:proofErr w:type="spellEnd"/>
      <w:r>
        <w:t>]]</w:t>
      </w:r>
    </w:p>
    <w:p w14:paraId="2F042332" w14:textId="77777777" w:rsidR="00CD2B57" w:rsidRDefault="00CD2B57" w:rsidP="00604EA2">
      <w:pPr>
        <w:jc w:val="both"/>
      </w:pPr>
    </w:p>
    <w:p w14:paraId="07D4765D" w14:textId="77777777" w:rsidR="00CD2B57" w:rsidRDefault="00CD2B57" w:rsidP="00604EA2">
      <w:pPr>
        <w:jc w:val="both"/>
      </w:pPr>
    </w:p>
    <w:p w14:paraId="72BF5AB1" w14:textId="77777777" w:rsidR="00CD2B57" w:rsidRDefault="00CD2B57" w:rsidP="00604EA2">
      <w:pPr>
        <w:jc w:val="both"/>
      </w:pPr>
    </w:p>
    <w:p w14:paraId="294DB5B6" w14:textId="77777777" w:rsidR="00CB7BEC" w:rsidRDefault="00CB7BEC" w:rsidP="00604EA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DBD16" w14:textId="64D70E55" w:rsidR="00534E9A" w:rsidRDefault="00534E9A" w:rsidP="00604EA2">
      <w:pPr>
        <w:pStyle w:val="Heading1"/>
        <w:jc w:val="both"/>
      </w:pPr>
      <w:r>
        <w:lastRenderedPageBreak/>
        <w:t>Methods</w:t>
      </w:r>
    </w:p>
    <w:p w14:paraId="1E271DDF" w14:textId="77777777" w:rsidR="00534E9A" w:rsidRDefault="00534E9A" w:rsidP="00604EA2">
      <w:pPr>
        <w:jc w:val="both"/>
      </w:pPr>
    </w:p>
    <w:p w14:paraId="4ECC8849" w14:textId="54C7A1EB" w:rsidR="00E741DA" w:rsidRDefault="00E741DA" w:rsidP="00604EA2">
      <w:pPr>
        <w:pStyle w:val="Heading2"/>
        <w:jc w:val="both"/>
      </w:pPr>
      <w:r>
        <w:t>Participants</w:t>
      </w:r>
    </w:p>
    <w:p w14:paraId="1EB194D8" w14:textId="77777777" w:rsidR="00E741DA" w:rsidRDefault="00E741DA" w:rsidP="00604EA2">
      <w:pPr>
        <w:pStyle w:val="Heading2"/>
        <w:jc w:val="both"/>
      </w:pPr>
    </w:p>
    <w:p w14:paraId="59DA0DEE" w14:textId="2C987674" w:rsidR="00604EA2" w:rsidRPr="00604EA2" w:rsidRDefault="00604EA2" w:rsidP="00604EA2">
      <w:pPr>
        <w:jc w:val="both"/>
      </w:pPr>
      <w:r>
        <w:t xml:space="preserve">To obtain high quality data, we implemented a participant filter at the data collection stage. Immediately after data collection, we deleted participants who failed any of the following criteria: (a) (b). </w:t>
      </w:r>
    </w:p>
    <w:p w14:paraId="378BC74D" w14:textId="77777777" w:rsidR="00604EA2" w:rsidRDefault="00604EA2" w:rsidP="00604EA2">
      <w:pPr>
        <w:jc w:val="both"/>
      </w:pPr>
    </w:p>
    <w:p w14:paraId="5312BB01" w14:textId="17BE2F5F" w:rsidR="00344A32" w:rsidRDefault="00675BA0" w:rsidP="00604EA2">
      <w:pPr>
        <w:jc w:val="both"/>
      </w:pPr>
      <w:r>
        <w:t>A total of 1</w:t>
      </w:r>
      <w:r w:rsidR="00D20CE2">
        <w:t>6</w:t>
      </w:r>
      <w:r w:rsidR="00B3382A">
        <w:t>0</w:t>
      </w:r>
      <w:r>
        <w:t xml:space="preserve"> </w:t>
      </w:r>
      <w:r w:rsidR="00D20CE2">
        <w:t>participants were recruited from Caltech and the surrounding community using flyers. 9</w:t>
      </w:r>
      <w:r w:rsidR="00B3382A">
        <w:t>1</w:t>
      </w:r>
      <w:r w:rsidR="00D20CE2">
        <w:t xml:space="preserve"> participants were recruited to the dot study. Of these, </w:t>
      </w:r>
      <w:r w:rsidR="00B3382A">
        <w:t>19</w:t>
      </w:r>
      <w:r w:rsidR="00D20CE2">
        <w:t xml:space="preserve"> were excluded </w:t>
      </w:r>
      <w:r w:rsidR="00604EA2">
        <w:t>for failing our participant filter</w:t>
      </w:r>
      <w:r w:rsidR="00344A32">
        <w:t>, leaving 7</w:t>
      </w:r>
      <w:r w:rsidR="00B3382A">
        <w:t>2</w:t>
      </w:r>
      <w:r w:rsidR="00344A32">
        <w:t xml:space="preserve"> participants in the dot study (</w:t>
      </w:r>
      <w:r w:rsidR="00696533">
        <w:t>age: mean = 25 years, range = 18-41; gender: 26 male, 45 female, 1 non-binary; ethnicity: 27 Asian, 3 Black, 10 Hispanic, 3 Middle Eastern, 0 Native American, 28 White, 1 Abstain</w:t>
      </w:r>
      <w:r w:rsidR="00344A32">
        <w:t>)</w:t>
      </w:r>
      <w:r w:rsidR="00604EA2">
        <w:t>.</w:t>
      </w:r>
      <w:r w:rsidR="00D20CE2">
        <w:t xml:space="preserve"> </w:t>
      </w:r>
      <w:r w:rsidR="004D450B">
        <w:t>69</w:t>
      </w:r>
      <w:r w:rsidR="00D20CE2">
        <w:t xml:space="preserve"> participants were recruited to the numeric study.</w:t>
      </w:r>
      <w:r w:rsidR="004D450B">
        <w:t xml:space="preserve"> Of these, the first 6 were excluded due to a change in the instruction phase of the experiment and 13 were excluded for failing the participant filter</w:t>
      </w:r>
      <w:r w:rsidR="00332EC6">
        <w:t>, leaving 50 participants in the numeric study (age: mean = 27.68 years, range = 18-55; gender: 13 male, 34 female, 3 non-binary; ethnicity: 17 Asian, 5 Black, 10 Hispanic, 1 Middle Eastern, 1 Native American, 16 White, 0 Abstain)</w:t>
      </w:r>
      <w:r w:rsidR="004D450B">
        <w:t xml:space="preserve">. </w:t>
      </w:r>
    </w:p>
    <w:p w14:paraId="7362C397" w14:textId="77777777" w:rsidR="00344A32" w:rsidRDefault="00344A32" w:rsidP="00604EA2">
      <w:pPr>
        <w:jc w:val="both"/>
      </w:pPr>
    </w:p>
    <w:p w14:paraId="1824AB8E" w14:textId="109D08AE" w:rsidR="00675BA0" w:rsidRDefault="004D450B" w:rsidP="00604EA2">
      <w:pPr>
        <w:jc w:val="both"/>
      </w:pPr>
      <w:r>
        <w:t xml:space="preserve">We prescreened participants against requiring glasses for vision correction that might interfere with eye tracking. Participants were paid a $40 show-up fee, </w:t>
      </w:r>
      <w:r w:rsidR="00344A32">
        <w:t>and</w:t>
      </w:r>
      <w:r>
        <w:t xml:space="preserve"> gains </w:t>
      </w:r>
      <w:r w:rsidR="00344A32">
        <w:t>(</w:t>
      </w:r>
      <w:r>
        <w:t>losses</w:t>
      </w:r>
      <w:r w:rsidR="00344A32">
        <w:t>)</w:t>
      </w:r>
      <w:r>
        <w:t xml:space="preserve"> earned from the </w:t>
      </w:r>
      <w:r w:rsidR="00344A32">
        <w:t xml:space="preserve">experiment were added (deducted) to this amount. All participants gave informed consent, and all experiments were approved by Caltech’s Institutional Review Board. </w:t>
      </w:r>
    </w:p>
    <w:p w14:paraId="091602E0" w14:textId="77777777" w:rsidR="008D3BD6" w:rsidRPr="008D3BD6" w:rsidRDefault="008D3BD6" w:rsidP="00604EA2">
      <w:pPr>
        <w:jc w:val="both"/>
      </w:pPr>
    </w:p>
    <w:p w14:paraId="0572E111" w14:textId="32987AF3" w:rsidR="00534E9A" w:rsidRDefault="00534E9A" w:rsidP="00604EA2">
      <w:pPr>
        <w:pStyle w:val="Heading2"/>
        <w:jc w:val="both"/>
      </w:pPr>
      <w:r>
        <w:t>Task</w:t>
      </w:r>
    </w:p>
    <w:p w14:paraId="012A9CE6" w14:textId="0CB3A42A" w:rsidR="00107954" w:rsidRDefault="00107954" w:rsidP="00107954">
      <w:pPr>
        <w:pStyle w:val="Heading3"/>
      </w:pPr>
      <w:r>
        <w:t>Study 1: Dots</w:t>
      </w:r>
    </w:p>
    <w:p w14:paraId="7547C706" w14:textId="5390EB5E" w:rsidR="00107954" w:rsidRPr="00107954" w:rsidRDefault="00107954" w:rsidP="00107954">
      <w:pPr>
        <w:pStyle w:val="Heading3"/>
      </w:pPr>
      <w:r>
        <w:t>Study 2: Numeric</w:t>
      </w:r>
    </w:p>
    <w:p w14:paraId="5908960F" w14:textId="77777777" w:rsidR="00534E9A" w:rsidRDefault="00534E9A" w:rsidP="00604EA2">
      <w:pPr>
        <w:jc w:val="both"/>
      </w:pPr>
    </w:p>
    <w:p w14:paraId="596639C8" w14:textId="38BCA688" w:rsidR="00534E9A" w:rsidRDefault="00534E9A" w:rsidP="00604EA2">
      <w:pPr>
        <w:pStyle w:val="Heading2"/>
        <w:jc w:val="both"/>
      </w:pPr>
      <w:r>
        <w:t>Eye-Tracking</w:t>
      </w:r>
    </w:p>
    <w:p w14:paraId="49F83474" w14:textId="77777777" w:rsidR="005C1196" w:rsidRDefault="005C1196" w:rsidP="00604EA2">
      <w:pPr>
        <w:jc w:val="both"/>
      </w:pPr>
    </w:p>
    <w:p w14:paraId="2255312F" w14:textId="5D367C68" w:rsidR="00536BFA" w:rsidRDefault="005C1196" w:rsidP="005C1196">
      <w:pPr>
        <w:jc w:val="both"/>
      </w:pPr>
      <w:r>
        <w:t xml:space="preserve">We recorded subjects' fixation patterns at 500 Hz using an </w:t>
      </w:r>
      <w:proofErr w:type="spellStart"/>
      <w:r>
        <w:t>EyeLink</w:t>
      </w:r>
      <w:proofErr w:type="spellEnd"/>
      <w:r>
        <w:t xml:space="preserve"> 100.</w:t>
      </w:r>
      <w:r w:rsidR="00536BFA">
        <w:t xml:space="preserve"> </w:t>
      </w:r>
      <w:r>
        <w:t xml:space="preserve">Subjects sat about 60 cm away from a 1920 by </w:t>
      </w:r>
      <w:proofErr w:type="gramStart"/>
      <w:r>
        <w:t>1080 pixel</w:t>
      </w:r>
      <w:proofErr w:type="gramEnd"/>
      <w:r>
        <w:t xml:space="preserve"> monitor.</w:t>
      </w:r>
      <w:r w:rsidR="00536BFA">
        <w:t xml:space="preserve"> </w:t>
      </w:r>
      <w:r>
        <w:t>Lottery circles had a radius of 300 pixels</w:t>
      </w:r>
      <w:r w:rsidR="00536BFA">
        <w:t>, [numeric lottery dimensions]</w:t>
      </w:r>
      <w:r>
        <w:t>.</w:t>
      </w:r>
      <w:r w:rsidR="00536BFA">
        <w:t xml:space="preserve"> </w:t>
      </w:r>
      <w:r>
        <w:t>Fixations within the ROI of the left lottery were recorded as "left", while fixations to the right lottery were recorded as "right".</w:t>
      </w:r>
      <w:r w:rsidR="00536BFA">
        <w:t xml:space="preserve"> </w:t>
      </w:r>
      <w:r>
        <w:t>Occasionally, due to blinks or eye-tracker noise, fixation patterns exhibit transient "blank" recordings between two fixations to the same ROI (</w:t>
      </w:r>
      <w:proofErr w:type="gramStart"/>
      <w:r>
        <w:t>e.g.</w:t>
      </w:r>
      <w:proofErr w:type="gramEnd"/>
      <w:r>
        <w:t xml:space="preserve"> left-blank-left).</w:t>
      </w:r>
      <w:r w:rsidR="00536BFA">
        <w:t xml:space="preserve"> </w:t>
      </w:r>
      <w:r>
        <w:t>We recode these as a single fixation to the same ROI (</w:t>
      </w:r>
      <w:proofErr w:type="gramStart"/>
      <w:r>
        <w:t>e.g.</w:t>
      </w:r>
      <w:proofErr w:type="gramEnd"/>
      <w:r>
        <w:t xml:space="preserve"> left-left-left).</w:t>
      </w:r>
      <w:r w:rsidR="00536BFA">
        <w:t xml:space="preserve"> </w:t>
      </w:r>
      <w:r>
        <w:t>Transient "blank" recordings between two fixations to different ROI (</w:t>
      </w:r>
      <w:proofErr w:type="gramStart"/>
      <w:r>
        <w:t>e.g.</w:t>
      </w:r>
      <w:proofErr w:type="gramEnd"/>
      <w:r>
        <w:t xml:space="preserve"> left-blank-right) are recorded as saccades between fixations.</w:t>
      </w:r>
      <w:r w:rsidR="00536BFA">
        <w:t xml:space="preserve"> We dropped an average of </w:t>
      </w:r>
      <w:r w:rsidR="00107954">
        <w:t>[</w:t>
      </w:r>
      <w:proofErr w:type="spellStart"/>
      <w:r w:rsidR="00107954">
        <w:t>txt_average_missing_trials_dots</w:t>
      </w:r>
      <w:proofErr w:type="spellEnd"/>
      <w:r w:rsidR="00107954">
        <w:t>] in the dots study, [</w:t>
      </w:r>
      <w:proofErr w:type="spellStart"/>
      <w:r w:rsidR="00107954">
        <w:t>txt_average_missing_trials_numeric</w:t>
      </w:r>
      <w:proofErr w:type="spellEnd"/>
      <w:r w:rsidR="00107954">
        <w:t>] in the numeric study.</w:t>
      </w:r>
    </w:p>
    <w:p w14:paraId="08735224" w14:textId="77777777" w:rsidR="008D3BD6" w:rsidRDefault="008D3BD6" w:rsidP="00604EA2">
      <w:pPr>
        <w:jc w:val="both"/>
      </w:pPr>
    </w:p>
    <w:p w14:paraId="0A5C3ADA" w14:textId="6820BAA6" w:rsidR="00534E9A" w:rsidRDefault="00534E9A" w:rsidP="00604EA2">
      <w:pPr>
        <w:pStyle w:val="Heading2"/>
        <w:jc w:val="both"/>
      </w:pPr>
      <w:r>
        <w:t>Inference Strategy</w:t>
      </w:r>
    </w:p>
    <w:p w14:paraId="6F313650" w14:textId="77777777" w:rsidR="00534E9A" w:rsidRDefault="00534E9A" w:rsidP="00604EA2">
      <w:pPr>
        <w:jc w:val="both"/>
      </w:pPr>
    </w:p>
    <w:p w14:paraId="3611B5A8" w14:textId="68D2EAE1" w:rsidR="000A345D" w:rsidRDefault="00534E9A" w:rsidP="00604EA2">
      <w:pPr>
        <w:pStyle w:val="Heading2"/>
        <w:jc w:val="both"/>
      </w:pPr>
      <w:r>
        <w:lastRenderedPageBreak/>
        <w:t>Model Fitting</w:t>
      </w:r>
    </w:p>
    <w:p w14:paraId="5D6AC72D" w14:textId="77777777" w:rsidR="001A7574" w:rsidRDefault="001A7574" w:rsidP="00604EA2">
      <w:pPr>
        <w:jc w:val="both"/>
      </w:pPr>
    </w:p>
    <w:p w14:paraId="0252454B" w14:textId="45054E7D" w:rsidR="001A7574" w:rsidRDefault="001A7574" w:rsidP="00604EA2">
      <w:pPr>
        <w:jc w:val="both"/>
      </w:pPr>
      <w:r>
        <w:t>[</w:t>
      </w:r>
      <w:proofErr w:type="spellStart"/>
      <w:r>
        <w:t>txt_addm_timestep</w:t>
      </w:r>
      <w:proofErr w:type="spellEnd"/>
      <w:r>
        <w:t>]</w:t>
      </w:r>
    </w:p>
    <w:p w14:paraId="37878BCB" w14:textId="6451D342" w:rsidR="001A7574" w:rsidRPr="001A7574" w:rsidRDefault="001A7574" w:rsidP="00604EA2">
      <w:pPr>
        <w:jc w:val="both"/>
      </w:pPr>
      <w:r>
        <w:t>[</w:t>
      </w:r>
      <w:proofErr w:type="spellStart"/>
      <w:r>
        <w:t>txt_addm_statestep</w:t>
      </w:r>
      <w:proofErr w:type="spellEnd"/>
      <w:r>
        <w:t>]</w:t>
      </w:r>
    </w:p>
    <w:p w14:paraId="2B205AB2" w14:textId="77777777" w:rsidR="00534E9A" w:rsidRDefault="00534E9A" w:rsidP="00604EA2">
      <w:pPr>
        <w:jc w:val="both"/>
      </w:pPr>
    </w:p>
    <w:p w14:paraId="2E584E8D" w14:textId="7F6261BF" w:rsidR="00E741DA" w:rsidRDefault="00E741DA" w:rsidP="00604EA2">
      <w:pPr>
        <w:pStyle w:val="Heading2"/>
        <w:jc w:val="both"/>
      </w:pPr>
      <w:r>
        <w:t>Simulations</w:t>
      </w:r>
    </w:p>
    <w:p w14:paraId="720B97D6" w14:textId="77777777" w:rsidR="001A7574" w:rsidRDefault="001A7574" w:rsidP="00604EA2">
      <w:pPr>
        <w:jc w:val="both"/>
      </w:pPr>
    </w:p>
    <w:p w14:paraId="6DD5EFA5" w14:textId="1EADE5AE" w:rsidR="001A7574" w:rsidRPr="001A7574" w:rsidRDefault="001A7574" w:rsidP="00604EA2">
      <w:pPr>
        <w:jc w:val="both"/>
      </w:pPr>
      <w:r>
        <w:t>[</w:t>
      </w:r>
      <w:proofErr w:type="spellStart"/>
      <w:r>
        <w:t>txt_n_simulated_datasets</w:t>
      </w:r>
      <w:proofErr w:type="spellEnd"/>
      <w:r>
        <w:t>]</w:t>
      </w:r>
    </w:p>
    <w:p w14:paraId="46A63ABA" w14:textId="77777777" w:rsidR="00E741DA" w:rsidRDefault="00E741DA" w:rsidP="00604EA2">
      <w:pPr>
        <w:jc w:val="both"/>
      </w:pPr>
    </w:p>
    <w:p w14:paraId="2D245040" w14:textId="3E54A918" w:rsidR="00534E9A" w:rsidRDefault="00534E9A" w:rsidP="00604EA2">
      <w:pPr>
        <w:pStyle w:val="Heading2"/>
        <w:jc w:val="both"/>
      </w:pPr>
      <w:r>
        <w:t>Regressions</w:t>
      </w:r>
    </w:p>
    <w:p w14:paraId="11627CC3" w14:textId="77777777" w:rsidR="001A7574" w:rsidRDefault="001A7574" w:rsidP="00604EA2">
      <w:pPr>
        <w:jc w:val="both"/>
      </w:pPr>
    </w:p>
    <w:p w14:paraId="139F7D10" w14:textId="1DB257E3" w:rsidR="001A7574" w:rsidRDefault="001A7574" w:rsidP="00604EA2">
      <w:pPr>
        <w:jc w:val="both"/>
      </w:pPr>
      <w:r>
        <w:t>[</w:t>
      </w:r>
      <w:proofErr w:type="spellStart"/>
      <w:r>
        <w:t>txt_regression_burnin</w:t>
      </w:r>
      <w:proofErr w:type="spellEnd"/>
      <w:r>
        <w:t>]</w:t>
      </w:r>
    </w:p>
    <w:p w14:paraId="1EAABD54" w14:textId="77751329" w:rsidR="009D4793" w:rsidRPr="001A7574" w:rsidRDefault="001A7574" w:rsidP="00604EA2">
      <w:pPr>
        <w:jc w:val="both"/>
      </w:pPr>
      <w:r>
        <w:t>[</w:t>
      </w:r>
      <w:proofErr w:type="spellStart"/>
      <w:r>
        <w:t>txt_regression_samples</w:t>
      </w:r>
      <w:proofErr w:type="spellEnd"/>
      <w:r>
        <w:t>]</w:t>
      </w:r>
    </w:p>
    <w:p w14:paraId="3F46F76B" w14:textId="77777777" w:rsidR="00534E9A" w:rsidRDefault="00534E9A" w:rsidP="00604EA2">
      <w:pPr>
        <w:jc w:val="both"/>
      </w:pPr>
    </w:p>
    <w:p w14:paraId="1BB2305E" w14:textId="114A1E3C" w:rsidR="00534E9A" w:rsidRDefault="00534E9A" w:rsidP="00604EA2">
      <w:pPr>
        <w:pStyle w:val="Heading1"/>
        <w:jc w:val="both"/>
      </w:pPr>
      <w:r>
        <w:t>Discussion</w:t>
      </w:r>
    </w:p>
    <w:p w14:paraId="1486CFC4" w14:textId="77777777" w:rsidR="00E741DA" w:rsidRDefault="00E741DA" w:rsidP="00604EA2">
      <w:pPr>
        <w:jc w:val="both"/>
      </w:pPr>
    </w:p>
    <w:p w14:paraId="75E868B6" w14:textId="7FD55C16" w:rsidR="00E741DA" w:rsidRPr="00E741DA" w:rsidRDefault="00E741DA" w:rsidP="00604EA2">
      <w:pPr>
        <w:pStyle w:val="Heading1"/>
        <w:jc w:val="both"/>
      </w:pPr>
      <w:r>
        <w:t>Significance Statement</w:t>
      </w:r>
    </w:p>
    <w:sectPr w:rsidR="00E741DA" w:rsidRPr="00E7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7"/>
    <w:rsid w:val="00026062"/>
    <w:rsid w:val="000A345D"/>
    <w:rsid w:val="000E67A0"/>
    <w:rsid w:val="000F6A2B"/>
    <w:rsid w:val="00107954"/>
    <w:rsid w:val="001A7574"/>
    <w:rsid w:val="002616AD"/>
    <w:rsid w:val="002A6F7C"/>
    <w:rsid w:val="002F38F7"/>
    <w:rsid w:val="00324CA7"/>
    <w:rsid w:val="00332EC6"/>
    <w:rsid w:val="00344A32"/>
    <w:rsid w:val="003978F7"/>
    <w:rsid w:val="0047157F"/>
    <w:rsid w:val="004D450B"/>
    <w:rsid w:val="00534E9A"/>
    <w:rsid w:val="00536BFA"/>
    <w:rsid w:val="005C1196"/>
    <w:rsid w:val="00604EA2"/>
    <w:rsid w:val="00611513"/>
    <w:rsid w:val="0063502D"/>
    <w:rsid w:val="00667539"/>
    <w:rsid w:val="00675BA0"/>
    <w:rsid w:val="00696533"/>
    <w:rsid w:val="006B7976"/>
    <w:rsid w:val="007E7600"/>
    <w:rsid w:val="008D3BD6"/>
    <w:rsid w:val="009D4793"/>
    <w:rsid w:val="00A218E7"/>
    <w:rsid w:val="00A33333"/>
    <w:rsid w:val="00A73264"/>
    <w:rsid w:val="00AD140F"/>
    <w:rsid w:val="00B3382A"/>
    <w:rsid w:val="00B77776"/>
    <w:rsid w:val="00C305C0"/>
    <w:rsid w:val="00CB7BEC"/>
    <w:rsid w:val="00CD2B57"/>
    <w:rsid w:val="00D00C46"/>
    <w:rsid w:val="00D20CE2"/>
    <w:rsid w:val="00D81402"/>
    <w:rsid w:val="00E038C1"/>
    <w:rsid w:val="00E741DA"/>
    <w:rsid w:val="00E902EA"/>
    <w:rsid w:val="00EF293B"/>
    <w:rsid w:val="00F57B27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E96"/>
  <w15:chartTrackingRefBased/>
  <w15:docId w15:val="{F51F6CF4-30C1-7D48-A30F-001D2F2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E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E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4CA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0795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0795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F6A2B"/>
    <w:pPr>
      <w:spacing w:after="200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038C1"/>
    <w:pPr>
      <w:ind w:left="720"/>
      <w:contextualSpacing/>
    </w:pPr>
  </w:style>
  <w:style w:type="table" w:styleId="TableGrid">
    <w:name w:val="Table Grid"/>
    <w:basedOn w:val="TableNormal"/>
    <w:uiPriority w:val="39"/>
    <w:rsid w:val="0063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50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861A44-E917-594E-95D3-209C07CA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28</cp:revision>
  <cp:lastPrinted>2023-11-29T20:17:00Z</cp:lastPrinted>
  <dcterms:created xsi:type="dcterms:W3CDTF">2023-11-29T18:25:00Z</dcterms:created>
  <dcterms:modified xsi:type="dcterms:W3CDTF">2024-02-14T19:13:00Z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zotero-version="7.0.0-beta.53+969031a37"&gt;&lt;session id="S0DNPjEC"/&gt;&lt;style id="http://www.zotero.org/styles/apa" locale="en-US" hasBibliography="1" bibliographyStyleHasBeenSet="0"/&gt;&lt;prefs&gt;&lt;pref name="fieldType" value="Field"/&gt;&lt;pref nam</vt:lpwstr>
  </property>
  <property fmtid="{D5CDD505-2E9C-101B-9397-08002B2CF9AE}" pid="3" name="ZOTERO_PREF_2">
    <vt:lpwstr>e="automaticJournalAbbreviations" value="true"/&gt;&lt;/prefs&gt;&lt;/data&gt;</vt:lpwstr>
  </property>
</Properties>
</file>