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3C42C" w14:textId="1286B900" w:rsidR="00D00C46" w:rsidRDefault="009933B1" w:rsidP="00C40A94">
      <w:pPr>
        <w:pStyle w:val="Title"/>
        <w:jc w:val="center"/>
      </w:pPr>
      <w:r w:rsidRPr="009933B1">
        <w:t>Attention in Aversive Choice</w:t>
      </w:r>
    </w:p>
    <w:p w14:paraId="08B0F8CA" w14:textId="77777777" w:rsidR="009933B1" w:rsidRDefault="009933B1" w:rsidP="00C40A94">
      <w:pPr>
        <w:jc w:val="both"/>
        <w:rPr>
          <w:u w:val="single"/>
        </w:rPr>
      </w:pPr>
    </w:p>
    <w:p w14:paraId="447FDF4F" w14:textId="65142739" w:rsidR="00673926" w:rsidRDefault="007B6ABA" w:rsidP="007B6ABA">
      <w:pPr>
        <w:pStyle w:val="Heading1"/>
      </w:pPr>
      <w:r>
        <w:t>Introduction</w:t>
      </w:r>
    </w:p>
    <w:p w14:paraId="785C3D00" w14:textId="77777777" w:rsidR="007B6ABA" w:rsidRPr="007B6ABA" w:rsidRDefault="007B6ABA" w:rsidP="007B6ABA"/>
    <w:p w14:paraId="5BCA236C" w14:textId="119B262D" w:rsidR="009933B1" w:rsidRDefault="00673926" w:rsidP="00C40A94">
      <w:pPr>
        <w:jc w:val="both"/>
      </w:pPr>
      <w:r>
        <w:rPr>
          <w:noProof/>
        </w:rPr>
        <w:drawing>
          <wp:inline distT="0" distB="0" distL="0" distR="0" wp14:anchorId="081435DD" wp14:editId="18DA6AE3">
            <wp:extent cx="5943600" cy="2183130"/>
            <wp:effectExtent l="0" t="0" r="0" b="1270"/>
            <wp:docPr id="89695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5084" name="Picture 89695084"/>
                    <pic:cNvPicPr/>
                  </pic:nvPicPr>
                  <pic:blipFill>
                    <a:blip r:embed="rId5">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inline>
        </w:drawing>
      </w:r>
    </w:p>
    <w:p w14:paraId="2DB88D04" w14:textId="6D173FF7" w:rsidR="00673926" w:rsidRDefault="00C07A28" w:rsidP="00C40A94">
      <w:pPr>
        <w:jc w:val="both"/>
        <w:rPr>
          <w:rFonts w:eastAsiaTheme="minorEastAsia"/>
        </w:rPr>
      </w:pPr>
      <w:r>
        <w:t xml:space="preserve">Fig. 1. aDDM Examples. (Gain Predictions) With positive value signals and an attentional parameter </w:t>
      </w:r>
      <m:oMath>
        <m:r>
          <w:rPr>
            <w:rFonts w:ascii="Cambria Math" w:hAnsi="Cambria Math"/>
          </w:rPr>
          <m:t>θ∈[0,1]</m:t>
        </m:r>
      </m:oMath>
      <w:r>
        <w:rPr>
          <w:rFonts w:eastAsiaTheme="minorEastAsia"/>
        </w:rPr>
        <w:t>, the accumulator is biased towards the fixated option. (Loss Predictions) With negative value signals, the accumulator is instead predicted to be biased towards the non-fixated option. Colored vertical bands illustrate fixation locations.</w:t>
      </w:r>
    </w:p>
    <w:p w14:paraId="412FB2D6" w14:textId="77777777" w:rsidR="00447780" w:rsidRDefault="00447780" w:rsidP="00C40A94">
      <w:pPr>
        <w:jc w:val="both"/>
        <w:rPr>
          <w:rFonts w:eastAsiaTheme="minorEastAsia"/>
        </w:rPr>
      </w:pPr>
    </w:p>
    <w:p w14:paraId="55000BA8" w14:textId="0DD68A33" w:rsidR="00447780" w:rsidRPr="000F1897" w:rsidRDefault="000F1897" w:rsidP="000F1897">
      <w:pPr>
        <w:pStyle w:val="ListParagraph"/>
        <w:numPr>
          <w:ilvl w:val="0"/>
          <w:numId w:val="2"/>
        </w:numPr>
        <w:jc w:val="both"/>
        <w:rPr>
          <w:rFonts w:eastAsiaTheme="minorEastAsia"/>
        </w:rPr>
      </w:pPr>
      <w:r>
        <w:rPr>
          <w:rFonts w:eastAsiaTheme="minorEastAsia"/>
        </w:rPr>
        <w:t xml:space="preserve">The aDDM predicts that attention in aversive choices should bias decisions away from more </w:t>
      </w:r>
      <w:r w:rsidR="00680F21">
        <w:rPr>
          <w:rFonts w:eastAsiaTheme="minorEastAsia"/>
        </w:rPr>
        <w:t>attended</w:t>
      </w:r>
      <w:r>
        <w:rPr>
          <w:rFonts w:eastAsiaTheme="minorEastAsia"/>
        </w:rPr>
        <w:t xml:space="preserve"> options.</w:t>
      </w:r>
    </w:p>
    <w:p w14:paraId="506C4F61" w14:textId="77777777" w:rsidR="00C07A28" w:rsidRDefault="00C07A28" w:rsidP="00C40A94">
      <w:pPr>
        <w:jc w:val="both"/>
        <w:rPr>
          <w:rFonts w:eastAsiaTheme="minorEastAsia"/>
        </w:rPr>
      </w:pPr>
    </w:p>
    <w:p w14:paraId="7771DE64" w14:textId="77777777" w:rsidR="008315AC" w:rsidRDefault="008315AC">
      <w:pPr>
        <w:rPr>
          <w:rFonts w:asciiTheme="majorHAnsi" w:eastAsiaTheme="minorEastAsia" w:hAnsiTheme="majorHAnsi" w:cstheme="majorBidi"/>
          <w:color w:val="2F5496" w:themeColor="accent1" w:themeShade="BF"/>
          <w:sz w:val="32"/>
          <w:szCs w:val="32"/>
        </w:rPr>
      </w:pPr>
      <w:r>
        <w:rPr>
          <w:rFonts w:eastAsiaTheme="minorEastAsia"/>
        </w:rPr>
        <w:br w:type="page"/>
      </w:r>
    </w:p>
    <w:p w14:paraId="75460F78" w14:textId="604CA564" w:rsidR="007B6ABA" w:rsidRDefault="007B6ABA" w:rsidP="007B6ABA">
      <w:pPr>
        <w:pStyle w:val="Heading1"/>
        <w:rPr>
          <w:rFonts w:eastAsiaTheme="minorEastAsia"/>
        </w:rPr>
      </w:pPr>
      <w:r>
        <w:rPr>
          <w:rFonts w:eastAsiaTheme="minorEastAsia"/>
        </w:rPr>
        <w:lastRenderedPageBreak/>
        <w:t>Results</w:t>
      </w:r>
    </w:p>
    <w:p w14:paraId="1B15CBA1" w14:textId="77777777" w:rsidR="007B6ABA" w:rsidRPr="007B6ABA" w:rsidRDefault="007B6ABA" w:rsidP="007B6ABA"/>
    <w:p w14:paraId="1EE11FFD" w14:textId="44A64DDD" w:rsidR="007B6ABA" w:rsidRDefault="007B6ABA" w:rsidP="007B6ABA">
      <w:pPr>
        <w:pStyle w:val="Heading2"/>
      </w:pPr>
      <w:r>
        <w:t>Paradigm</w:t>
      </w:r>
    </w:p>
    <w:p w14:paraId="567F93CB" w14:textId="77777777" w:rsidR="00235EBD" w:rsidRPr="00235EBD" w:rsidRDefault="00235EBD" w:rsidP="00235EBD"/>
    <w:p w14:paraId="149B4634" w14:textId="79A9690C" w:rsidR="00C07A28" w:rsidRDefault="00C07A28" w:rsidP="00C40A94">
      <w:pPr>
        <w:jc w:val="both"/>
      </w:pPr>
      <w:r>
        <w:rPr>
          <w:noProof/>
        </w:rPr>
        <w:drawing>
          <wp:inline distT="0" distB="0" distL="0" distR="0" wp14:anchorId="732FE0ED" wp14:editId="76A13028">
            <wp:extent cx="5943600" cy="1948180"/>
            <wp:effectExtent l="0" t="0" r="0" b="0"/>
            <wp:docPr id="274151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51617" name="Picture 2741516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948180"/>
                    </a:xfrm>
                    <a:prstGeom prst="rect">
                      <a:avLst/>
                    </a:prstGeom>
                  </pic:spPr>
                </pic:pic>
              </a:graphicData>
            </a:graphic>
          </wp:inline>
        </w:drawing>
      </w:r>
    </w:p>
    <w:p w14:paraId="374379BC" w14:textId="4069A731" w:rsidR="00C07A28" w:rsidRDefault="00C07A28" w:rsidP="00C40A94">
      <w:pPr>
        <w:jc w:val="both"/>
        <w:rPr>
          <w:rFonts w:eastAsiaTheme="minorEastAsia"/>
        </w:rPr>
      </w:pPr>
      <w:r>
        <w:t xml:space="preserve">Fig. 2. Studies. Trials begin with a forced fixation cross for 1 s. In Study 1, the fixation cross is fixed in the center; but in Study 2, it varies evenly between the left, center, and right side of the screen. Participants then make a binary choice between two lotteries on the left and right side of the screen.  In the gain condition, the lotteries have weakly positive outcomes. In the loss condition, they have weakly negative outcomes. As they make their choice, participants have free response times while we record the location of their gaze. After participants make a choice, feedback about the selected option is presented for 1 s. In Study 1, lotteries are presented as 100 dots in a grey circle. Green, white, and red dots represent the probability of gaining $10, $0, and -$10, respectively. The number of green or red dots is drawn uniformly from </w:t>
      </w:r>
      <m:oMath>
        <m:r>
          <w:rPr>
            <w:rFonts w:ascii="Cambria Math" w:hAnsi="Cambria Math"/>
          </w:rPr>
          <m:t>p∈{45,…,55}</m:t>
        </m:r>
      </m:oMath>
      <w:r>
        <w:rPr>
          <w:rFonts w:eastAsiaTheme="minorEastAsia"/>
        </w:rPr>
        <w:t xml:space="preserve">, and the number of white dots is </w:t>
      </w:r>
      <m:oMath>
        <m:r>
          <w:rPr>
            <w:rFonts w:ascii="Cambria Math" w:eastAsiaTheme="minorEastAsia" w:hAnsi="Cambria Math"/>
          </w:rPr>
          <m:t>100-p</m:t>
        </m:r>
      </m:oMath>
      <w:r>
        <w:rPr>
          <w:rFonts w:eastAsiaTheme="minorEastAsia"/>
        </w:rPr>
        <w:t xml:space="preserve">. In Study 2, the probabilities and outcomes for each lottery are presented in numerical format with an implicit 0 outcome. </w:t>
      </w:r>
      <w:r w:rsidR="00C40A94">
        <w:rPr>
          <w:rFonts w:eastAsiaTheme="minorEastAsia"/>
        </w:rPr>
        <w:t xml:space="preserve">Differences in </w:t>
      </w:r>
      <w:r w:rsidR="00AE34EE">
        <w:rPr>
          <w:rFonts w:eastAsiaTheme="minorEastAsia"/>
        </w:rPr>
        <w:t>expected value are bounded between [-$4, $4], depending on condition.</w:t>
      </w:r>
    </w:p>
    <w:p w14:paraId="136B47E6" w14:textId="77777777" w:rsidR="007B6ABA" w:rsidRDefault="007B6ABA" w:rsidP="00C40A94">
      <w:pPr>
        <w:jc w:val="both"/>
        <w:rPr>
          <w:rFonts w:eastAsiaTheme="minorEastAsia"/>
        </w:rPr>
      </w:pPr>
    </w:p>
    <w:p w14:paraId="5AD8EFE8" w14:textId="2CB8B6D7" w:rsidR="00851AC9" w:rsidRDefault="00851AC9" w:rsidP="00851AC9">
      <w:pPr>
        <w:pStyle w:val="ListParagraph"/>
        <w:numPr>
          <w:ilvl w:val="0"/>
          <w:numId w:val="2"/>
        </w:numPr>
        <w:jc w:val="both"/>
        <w:rPr>
          <w:rFonts w:eastAsiaTheme="minorEastAsia"/>
        </w:rPr>
      </w:pPr>
      <w:r>
        <w:rPr>
          <w:rFonts w:eastAsiaTheme="minorEastAsia"/>
        </w:rPr>
        <w:t>To test this hypothesis, we run two eye-tracking studies to investigate the role of attention in aversive choice.</w:t>
      </w:r>
    </w:p>
    <w:p w14:paraId="6E53416A" w14:textId="4F46C1D5" w:rsidR="00680F21" w:rsidRPr="00851AC9" w:rsidRDefault="00680F21" w:rsidP="00851AC9">
      <w:pPr>
        <w:pStyle w:val="ListParagraph"/>
        <w:numPr>
          <w:ilvl w:val="0"/>
          <w:numId w:val="2"/>
        </w:numPr>
        <w:jc w:val="both"/>
        <w:rPr>
          <w:rFonts w:eastAsiaTheme="minorEastAsia"/>
        </w:rPr>
      </w:pPr>
      <w:r>
        <w:rPr>
          <w:rFonts w:eastAsiaTheme="minorEastAsia"/>
        </w:rPr>
        <w:t xml:space="preserve">In Study 1, optimal information sampling could involve comparing colored and white dots, </w:t>
      </w:r>
      <w:r w:rsidR="00C65D3E">
        <w:rPr>
          <w:rFonts w:eastAsiaTheme="minorEastAsia"/>
        </w:rPr>
        <w:t>or it could involve simply counting green dots in the gain condition and white dots in the loss condition. Then inputs to the sequential sampling model are always positive. We run Study 2 to avoid ambiguity in the value signals.</w:t>
      </w:r>
    </w:p>
    <w:p w14:paraId="2240322E" w14:textId="77777777" w:rsidR="008315AC" w:rsidRDefault="008315AC">
      <w:pPr>
        <w:rPr>
          <w:rFonts w:asciiTheme="majorHAnsi" w:eastAsiaTheme="minorEastAsia" w:hAnsiTheme="majorHAnsi" w:cstheme="majorBidi"/>
          <w:color w:val="2F5496" w:themeColor="accent1" w:themeShade="BF"/>
          <w:sz w:val="26"/>
          <w:szCs w:val="26"/>
        </w:rPr>
      </w:pPr>
      <w:r>
        <w:rPr>
          <w:rFonts w:eastAsiaTheme="minorEastAsia"/>
        </w:rPr>
        <w:br w:type="page"/>
      </w:r>
    </w:p>
    <w:p w14:paraId="7C32DBCD" w14:textId="4678C591" w:rsidR="007B6ABA" w:rsidRDefault="007B6ABA" w:rsidP="007B6ABA">
      <w:pPr>
        <w:pStyle w:val="Heading2"/>
        <w:rPr>
          <w:rFonts w:eastAsiaTheme="minorEastAsia"/>
        </w:rPr>
      </w:pPr>
      <w:r>
        <w:rPr>
          <w:rFonts w:eastAsiaTheme="minorEastAsia"/>
        </w:rPr>
        <w:lastRenderedPageBreak/>
        <w:t>Basic Psychometrics</w:t>
      </w:r>
    </w:p>
    <w:p w14:paraId="2ED310C2" w14:textId="77777777" w:rsidR="00235EBD" w:rsidRPr="00235EBD" w:rsidRDefault="00235EBD" w:rsidP="00235EBD"/>
    <w:p w14:paraId="0F29ECB6" w14:textId="213C8DF9" w:rsidR="000029F0" w:rsidRDefault="00E405AF" w:rsidP="000029F0">
      <w:pPr>
        <w:jc w:val="center"/>
        <w:rPr>
          <w:rFonts w:eastAsiaTheme="minorEastAsia"/>
        </w:rPr>
      </w:pPr>
      <w:r>
        <w:rPr>
          <w:rFonts w:eastAsiaTheme="minorEastAsia"/>
          <w:noProof/>
        </w:rPr>
        <w:drawing>
          <wp:inline distT="0" distB="0" distL="0" distR="0" wp14:anchorId="2B1F3E48" wp14:editId="3DBEC7EB">
            <wp:extent cx="5943600" cy="4127500"/>
            <wp:effectExtent l="0" t="0" r="0" b="0"/>
            <wp:docPr id="160314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42211" name="Picture 1603142211"/>
                    <pic:cNvPicPr/>
                  </pic:nvPicPr>
                  <pic:blipFill>
                    <a:blip r:embed="rId7">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570A56C9" w14:textId="725C6621" w:rsidR="000029F0" w:rsidRDefault="000029F0" w:rsidP="00C40A94">
      <w:pPr>
        <w:jc w:val="both"/>
      </w:pPr>
      <w:r>
        <w:t>Fig. 3. Basic Psychometrics.</w:t>
      </w:r>
      <w:r w:rsidRPr="000029F0">
        <w:t xml:space="preserve"> The top row depicts the probability of choosing the left item as a function of the normalized expected value difference between the left and right lotteries (``relative value''). Expected values were normalized by dividing by the maximum magnitude of the difference. The middle row depicts response time as a function of normalized choice difficulty, measured by the expected value difference between the best and worst lottery then divided by the maximum magnitude of the difference. The bottom row depicts the number of fixations as a function of normalized choice difficulty. Columns indicate which data set generated the figures. Error bars show the standard error of the mean across participants.</w:t>
      </w:r>
    </w:p>
    <w:p w14:paraId="31E15D47" w14:textId="77777777" w:rsidR="000029F0" w:rsidRDefault="000029F0" w:rsidP="00C40A94">
      <w:pPr>
        <w:jc w:val="both"/>
      </w:pPr>
    </w:p>
    <w:p w14:paraId="478E8093" w14:textId="69283CCF" w:rsidR="008315AC" w:rsidRDefault="008315AC" w:rsidP="008315AC">
      <w:pPr>
        <w:pStyle w:val="ListParagraph"/>
        <w:numPr>
          <w:ilvl w:val="0"/>
          <w:numId w:val="2"/>
        </w:numPr>
        <w:jc w:val="both"/>
      </w:pPr>
      <w:r>
        <w:t xml:space="preserve">In both studies, there were no meaningful differences in average choices or number of fixations across the two conditions. </w:t>
      </w:r>
    </w:p>
    <w:p w14:paraId="54F7259A" w14:textId="44B3FA1A" w:rsidR="007B6ABA" w:rsidRDefault="008315AC" w:rsidP="008315AC">
      <w:pPr>
        <w:pStyle w:val="ListParagraph"/>
        <w:numPr>
          <w:ilvl w:val="0"/>
          <w:numId w:val="2"/>
        </w:numPr>
        <w:jc w:val="both"/>
      </w:pPr>
      <w:r>
        <w:t>Response times were slightly slower in the loss condition in Study 2. We believe this is partially driven by self-reported difficulty in comprehending loss lotteries with implicit zero outcomes.</w:t>
      </w:r>
    </w:p>
    <w:p w14:paraId="75ACEC49" w14:textId="24D8877B" w:rsidR="009C0A47" w:rsidRDefault="00235EBD" w:rsidP="009C0A47">
      <w:pPr>
        <w:pStyle w:val="ListParagraph"/>
        <w:numPr>
          <w:ilvl w:val="0"/>
          <w:numId w:val="2"/>
        </w:numPr>
        <w:jc w:val="both"/>
      </w:pPr>
      <w:r>
        <w:t xml:space="preserve">See Fig. </w:t>
      </w:r>
      <w:r w:rsidR="00131307">
        <w:t>S</w:t>
      </w:r>
      <w:r>
        <w:t>1 for impact of attentional manipulations in Study 2 on basic psychometrics.</w:t>
      </w:r>
      <w:r w:rsidR="009C0A47">
        <w:t xml:space="preserve"> Slight changes to average choices in gain condition, pretty much no impact on average choices in loss condition, or on response times.</w:t>
      </w:r>
    </w:p>
    <w:p w14:paraId="6DDB1050" w14:textId="0758EC3C" w:rsidR="00AE56B9" w:rsidRDefault="00AE56B9" w:rsidP="009C0A47">
      <w:pPr>
        <w:pStyle w:val="ListParagraph"/>
        <w:numPr>
          <w:ilvl w:val="0"/>
          <w:numId w:val="2"/>
        </w:numPr>
        <w:jc w:val="both"/>
      </w:pPr>
      <w:r>
        <w:t xml:space="preserve">See Table </w:t>
      </w:r>
      <w:r w:rsidR="00131307">
        <w:t>S</w:t>
      </w:r>
      <w:r>
        <w:t>1 for regressions associated with the figures.</w:t>
      </w:r>
    </w:p>
    <w:p w14:paraId="3427B4DF" w14:textId="77777777" w:rsidR="00AE56B9" w:rsidRDefault="00AE56B9">
      <w:pPr>
        <w:rPr>
          <w:rFonts w:asciiTheme="majorHAnsi" w:eastAsiaTheme="majorEastAsia" w:hAnsiTheme="majorHAnsi" w:cstheme="majorBidi"/>
          <w:color w:val="2F5496" w:themeColor="accent1" w:themeShade="BF"/>
          <w:sz w:val="26"/>
          <w:szCs w:val="26"/>
        </w:rPr>
      </w:pPr>
      <w:r>
        <w:br w:type="page"/>
      </w:r>
    </w:p>
    <w:p w14:paraId="141952D1" w14:textId="0AD8A467" w:rsidR="007B6ABA" w:rsidRPr="009C0A47" w:rsidRDefault="007B6ABA" w:rsidP="009C0A47">
      <w:pPr>
        <w:pStyle w:val="Heading2"/>
        <w:rPr>
          <w:rFonts w:eastAsiaTheme="minorHAnsi"/>
        </w:rPr>
      </w:pPr>
      <w:r>
        <w:lastRenderedPageBreak/>
        <w:t>Fixation Process</w:t>
      </w:r>
    </w:p>
    <w:p w14:paraId="36485F1A" w14:textId="44B98F85" w:rsidR="00235EBD" w:rsidRPr="00235EBD" w:rsidRDefault="00235EBD" w:rsidP="00235EBD"/>
    <w:p w14:paraId="5EA29D57" w14:textId="6D14EA75" w:rsidR="000029F0" w:rsidRDefault="00CD3877" w:rsidP="000029F0">
      <w:pPr>
        <w:jc w:val="center"/>
      </w:pPr>
      <w:r>
        <w:rPr>
          <w:noProof/>
        </w:rPr>
        <w:drawing>
          <wp:inline distT="0" distB="0" distL="0" distR="0" wp14:anchorId="56738862" wp14:editId="33BDA2DA">
            <wp:extent cx="5943600" cy="6769100"/>
            <wp:effectExtent l="0" t="0" r="0" b="0"/>
            <wp:docPr id="573832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32320" name="Picture 573832320"/>
                    <pic:cNvPicPr/>
                  </pic:nvPicPr>
                  <pic:blipFill>
                    <a:blip r:embed="rId8">
                      <a:extLst>
                        <a:ext uri="{28A0092B-C50C-407E-A947-70E740481C1C}">
                          <a14:useLocalDpi xmlns:a14="http://schemas.microsoft.com/office/drawing/2010/main" val="0"/>
                        </a:ext>
                      </a:extLst>
                    </a:blip>
                    <a:stretch>
                      <a:fillRect/>
                    </a:stretch>
                  </pic:blipFill>
                  <pic:spPr>
                    <a:xfrm>
                      <a:off x="0" y="0"/>
                      <a:ext cx="5943600" cy="6769100"/>
                    </a:xfrm>
                    <a:prstGeom prst="rect">
                      <a:avLst/>
                    </a:prstGeom>
                  </pic:spPr>
                </pic:pic>
              </a:graphicData>
            </a:graphic>
          </wp:inline>
        </w:drawing>
      </w:r>
    </w:p>
    <w:p w14:paraId="0F1E4E56" w14:textId="3253DC6C" w:rsidR="000029F0" w:rsidRDefault="000029F0" w:rsidP="00C40A94">
      <w:pPr>
        <w:jc w:val="both"/>
      </w:pPr>
      <w:r>
        <w:t xml:space="preserve">Fig. 4. Fixation Process. </w:t>
      </w:r>
      <w:r w:rsidRPr="000029F0">
        <w:t xml:space="preserve">The first row depicts the probability of first fixating on the best lottery as a function of normalized choice difficulty. The best lottery is determined by expected value, ignoring risk preferences. The second row depicts fixation durations as a function of fixation type. The third row depicts middle fixation durations as a function of normalized choice difficulty. The fourth row depicts first fixation durations as a function of normalized choice difficulty. The fifth </w:t>
      </w:r>
      <w:r w:rsidRPr="000029F0">
        <w:lastRenderedPageBreak/>
        <w:t>row depicts net fixation duration to the left lottery as a function of its normalized relative expected value. Columns indicate which data set generated the figures. Error bars show the standard error of the mean across participants</w:t>
      </w:r>
      <w:r w:rsidR="007B6ABA">
        <w:t>.</w:t>
      </w:r>
    </w:p>
    <w:p w14:paraId="3D79AAB9" w14:textId="77777777" w:rsidR="008315AC" w:rsidRDefault="008315AC" w:rsidP="00C40A94">
      <w:pPr>
        <w:jc w:val="both"/>
      </w:pPr>
    </w:p>
    <w:p w14:paraId="6C66263D" w14:textId="0DD4F2DD" w:rsidR="008315AC" w:rsidRDefault="008315AC" w:rsidP="008315AC">
      <w:pPr>
        <w:pStyle w:val="ListParagraph"/>
        <w:numPr>
          <w:ilvl w:val="0"/>
          <w:numId w:val="2"/>
        </w:numPr>
        <w:jc w:val="both"/>
      </w:pPr>
      <w:r>
        <w:t>No significant differences across conditions in first fixation to best, middle fixation durations, or first fixation durations.</w:t>
      </w:r>
    </w:p>
    <w:p w14:paraId="691874DB" w14:textId="0ECC7169" w:rsidR="008315AC" w:rsidRDefault="008315AC" w:rsidP="008315AC">
      <w:pPr>
        <w:pStyle w:val="ListParagraph"/>
        <w:numPr>
          <w:ilvl w:val="0"/>
          <w:numId w:val="2"/>
        </w:numPr>
        <w:jc w:val="both"/>
      </w:pPr>
      <w:r>
        <w:t>In Row 2, fixations durations were significantly longer in loss condition, but differences are small.</w:t>
      </w:r>
    </w:p>
    <w:p w14:paraId="545295CA" w14:textId="2BE3EA3B" w:rsidR="007B6ABA" w:rsidRDefault="008315AC" w:rsidP="00C40A94">
      <w:pPr>
        <w:pStyle w:val="ListParagraph"/>
        <w:numPr>
          <w:ilvl w:val="0"/>
          <w:numId w:val="2"/>
        </w:numPr>
        <w:jc w:val="both"/>
      </w:pPr>
      <w:r>
        <w:t xml:space="preserve">In Row 5, we see participants spend increasingly more time looking at the option they favor more. In Study 2, we see </w:t>
      </w:r>
      <w:r w:rsidR="00F41D41">
        <w:t xml:space="preserve">the right-side lottery receives more attention on average. See </w:t>
      </w:r>
      <w:r w:rsidR="00742708">
        <w:t xml:space="preserve">Fig. </w:t>
      </w:r>
      <w:r w:rsidR="00131307">
        <w:t>S</w:t>
      </w:r>
      <w:r w:rsidR="00E7109B">
        <w:t xml:space="preserve">2 </w:t>
      </w:r>
      <w:r w:rsidR="00F41D41">
        <w:t>for an explanation</w:t>
      </w:r>
      <w:r w:rsidR="009344E5">
        <w:t>: participants most frequently utilize 2 fixations when the fixation cross starts left, whereas they most frequently utilize 3 fixations when the fixation cross starts right.</w:t>
      </w:r>
      <w:r w:rsidR="00134758">
        <w:t xml:space="preserve"> This is not explained by Bayesian models of attention allocation.</w:t>
      </w:r>
    </w:p>
    <w:p w14:paraId="34B9E386" w14:textId="414A742F" w:rsidR="0024461A" w:rsidRDefault="0024461A" w:rsidP="00C40A94">
      <w:pPr>
        <w:pStyle w:val="ListParagraph"/>
        <w:numPr>
          <w:ilvl w:val="0"/>
          <w:numId w:val="2"/>
        </w:numPr>
        <w:jc w:val="both"/>
      </w:pPr>
      <w:r>
        <w:t xml:space="preserve">See Fig. </w:t>
      </w:r>
      <w:r w:rsidR="00131307">
        <w:t>S</w:t>
      </w:r>
      <w:r w:rsidR="00E7109B">
        <w:t>3</w:t>
      </w:r>
      <w:r w:rsidR="00131307">
        <w:t xml:space="preserve"> </w:t>
      </w:r>
      <w:r>
        <w:t>for impact of attentional manipulations on Fixation Process in Study 2.</w:t>
      </w:r>
      <w:r w:rsidR="009C0A47">
        <w:t xml:space="preserve"> Slightly longer first fixation durations when fixation cross left or right compared to center. Net fixation durations favor left more, the closer the fixation cross gets to the left side.</w:t>
      </w:r>
    </w:p>
    <w:p w14:paraId="7354AA99" w14:textId="480D44C0" w:rsidR="00AE56B9" w:rsidRDefault="00AE56B9" w:rsidP="00AE56B9">
      <w:pPr>
        <w:pStyle w:val="ListParagraph"/>
        <w:numPr>
          <w:ilvl w:val="0"/>
          <w:numId w:val="2"/>
        </w:numPr>
        <w:jc w:val="both"/>
      </w:pPr>
      <w:r>
        <w:t xml:space="preserve">See Table </w:t>
      </w:r>
      <w:r w:rsidR="00131307">
        <w:t>S</w:t>
      </w:r>
      <w:r>
        <w:t xml:space="preserve">2 for regressions associated with the figure, and Table </w:t>
      </w:r>
      <w:r w:rsidR="00131307">
        <w:t>S</w:t>
      </w:r>
      <w:r>
        <w:t xml:space="preserve">3 for regressions associated with Fig. </w:t>
      </w:r>
      <w:r w:rsidR="00131307">
        <w:t>S</w:t>
      </w:r>
      <w:r>
        <w:t>2, Additional Fixation Properties.</w:t>
      </w:r>
    </w:p>
    <w:p w14:paraId="493605DB" w14:textId="77777777" w:rsidR="007B6ABA" w:rsidRDefault="007B6ABA" w:rsidP="00C40A94">
      <w:pPr>
        <w:jc w:val="both"/>
      </w:pPr>
    </w:p>
    <w:p w14:paraId="5745A552" w14:textId="77777777" w:rsidR="00CB2C01" w:rsidRDefault="00CB2C01">
      <w:pPr>
        <w:rPr>
          <w:rFonts w:asciiTheme="majorHAnsi" w:eastAsiaTheme="majorEastAsia" w:hAnsiTheme="majorHAnsi" w:cstheme="majorBidi"/>
          <w:color w:val="2F5496" w:themeColor="accent1" w:themeShade="BF"/>
          <w:sz w:val="26"/>
          <w:szCs w:val="26"/>
        </w:rPr>
      </w:pPr>
      <w:r>
        <w:br w:type="page"/>
      </w:r>
    </w:p>
    <w:p w14:paraId="3AEC1CF4" w14:textId="6FDB9DE7" w:rsidR="007B6ABA" w:rsidRDefault="007B6ABA" w:rsidP="007B6ABA">
      <w:pPr>
        <w:pStyle w:val="Heading2"/>
      </w:pPr>
      <w:r>
        <w:lastRenderedPageBreak/>
        <w:t>Attentional Choice Biases</w:t>
      </w:r>
    </w:p>
    <w:p w14:paraId="59F88224" w14:textId="77777777" w:rsidR="00235EBD" w:rsidRPr="00235EBD" w:rsidRDefault="00235EBD" w:rsidP="00235EBD"/>
    <w:p w14:paraId="31F08B4F" w14:textId="7A6AE485" w:rsidR="000029F0" w:rsidRDefault="00CD3877" w:rsidP="000029F0">
      <w:pPr>
        <w:jc w:val="center"/>
      </w:pPr>
      <w:r>
        <w:rPr>
          <w:noProof/>
        </w:rPr>
        <w:drawing>
          <wp:inline distT="0" distB="0" distL="0" distR="0" wp14:anchorId="71CDC450" wp14:editId="1C39BEE7">
            <wp:extent cx="5943600" cy="4127500"/>
            <wp:effectExtent l="0" t="0" r="0" b="0"/>
            <wp:docPr id="1236080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0738" name="Picture 1236080738"/>
                    <pic:cNvPicPr/>
                  </pic:nvPicPr>
                  <pic:blipFill>
                    <a:blip r:embed="rId9">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259BFA2B" w14:textId="77777777" w:rsidR="007B6ABA" w:rsidRDefault="000029F0" w:rsidP="007B6ABA">
      <w:pPr>
        <w:jc w:val="both"/>
        <w:rPr>
          <w:noProof/>
        </w:rPr>
      </w:pPr>
      <w:r>
        <w:t xml:space="preserve">Fig. 5. Attentional Choice Biases. </w:t>
      </w:r>
      <w:r w:rsidRPr="000029F0">
        <w:t>The top row depicts the corrected probability of choosing the left lottery as a function of the net fixation to the left lottery. The corrected probability is computed by subtracting from each choice observation (1=left, 0=right) the proportion of which left is chosen at each relative value. The middle row depicts the probability of choosing the last fixated lottery as a function of the normalized relative expected value of the last fixated lottery. The bottom row depicts the probability of choosing the first fixated lottery as a function of the normalized relative expected value of the first fixated lottery. Columns indicate which data set generated the figures. Error bars show the standard error of the mean across participants.</w:t>
      </w:r>
    </w:p>
    <w:p w14:paraId="023815F5" w14:textId="77777777" w:rsidR="007B6ABA" w:rsidRDefault="007B6ABA" w:rsidP="007B6ABA">
      <w:pPr>
        <w:jc w:val="both"/>
        <w:rPr>
          <w:noProof/>
        </w:rPr>
      </w:pPr>
    </w:p>
    <w:p w14:paraId="5F9F23CA" w14:textId="77777777" w:rsidR="00235EBD" w:rsidRDefault="00235EBD" w:rsidP="00235EBD">
      <w:pPr>
        <w:pStyle w:val="ListParagraph"/>
        <w:numPr>
          <w:ilvl w:val="0"/>
          <w:numId w:val="2"/>
        </w:numPr>
        <w:jc w:val="both"/>
        <w:rPr>
          <w:noProof/>
        </w:rPr>
      </w:pPr>
      <w:r w:rsidRPr="0003734E">
        <w:rPr>
          <w:b/>
          <w:bCs/>
          <w:noProof/>
        </w:rPr>
        <w:t>Unlike the predictions of the aDDM, attentional choice biases did not experience a reversal in the loss condition.</w:t>
      </w:r>
      <w:r>
        <w:rPr>
          <w:noProof/>
        </w:rPr>
        <w:t xml:space="preserve"> </w:t>
      </w:r>
      <w:r w:rsidRPr="0003734E">
        <w:rPr>
          <w:b/>
          <w:bCs/>
          <w:noProof/>
        </w:rPr>
        <w:t>In fact, for both studies, they are nearly identical in both conditions.</w:t>
      </w:r>
    </w:p>
    <w:p w14:paraId="2412EB72" w14:textId="79F7C007" w:rsidR="007B6ABA" w:rsidRDefault="00235EBD" w:rsidP="00235EBD">
      <w:pPr>
        <w:pStyle w:val="ListParagraph"/>
        <w:numPr>
          <w:ilvl w:val="0"/>
          <w:numId w:val="2"/>
        </w:numPr>
        <w:jc w:val="both"/>
        <w:rPr>
          <w:noProof/>
        </w:rPr>
      </w:pPr>
      <w:r>
        <w:rPr>
          <w:noProof/>
        </w:rPr>
        <w:t>Row 3: no evidence of first fixation location bias.</w:t>
      </w:r>
    </w:p>
    <w:p w14:paraId="04F45C01" w14:textId="3FA5E319" w:rsidR="009C0A47" w:rsidRDefault="009C0A47" w:rsidP="00235EBD">
      <w:pPr>
        <w:pStyle w:val="ListParagraph"/>
        <w:numPr>
          <w:ilvl w:val="0"/>
          <w:numId w:val="2"/>
        </w:numPr>
        <w:jc w:val="both"/>
        <w:rPr>
          <w:noProof/>
        </w:rPr>
      </w:pPr>
      <w:r>
        <w:rPr>
          <w:noProof/>
        </w:rPr>
        <w:t xml:space="preserve">See Fig. </w:t>
      </w:r>
      <w:r w:rsidR="00131307">
        <w:rPr>
          <w:noProof/>
        </w:rPr>
        <w:t>S</w:t>
      </w:r>
      <w:r w:rsidR="00E7109B">
        <w:rPr>
          <w:noProof/>
        </w:rPr>
        <w:t>4</w:t>
      </w:r>
      <w:r>
        <w:rPr>
          <w:noProof/>
        </w:rPr>
        <w:t xml:space="preserve"> for effect of attentional manipulations on attentional choice biases. Not much impact on net or last fixation bias. It does impose a</w:t>
      </w:r>
      <w:r w:rsidR="004F6C0F">
        <w:rPr>
          <w:noProof/>
        </w:rPr>
        <w:t xml:space="preserve"> small</w:t>
      </w:r>
      <w:r>
        <w:rPr>
          <w:noProof/>
        </w:rPr>
        <w:t xml:space="preserve"> first fixation location bias.</w:t>
      </w:r>
    </w:p>
    <w:p w14:paraId="50BD49AD" w14:textId="329F0CAC" w:rsidR="00AE56B9" w:rsidRDefault="00AE56B9" w:rsidP="00235EBD">
      <w:pPr>
        <w:pStyle w:val="ListParagraph"/>
        <w:numPr>
          <w:ilvl w:val="0"/>
          <w:numId w:val="2"/>
        </w:numPr>
        <w:jc w:val="both"/>
        <w:rPr>
          <w:noProof/>
        </w:rPr>
      </w:pPr>
      <w:r>
        <w:rPr>
          <w:noProof/>
        </w:rPr>
        <w:t xml:space="preserve">See Table </w:t>
      </w:r>
      <w:r w:rsidR="00131307">
        <w:rPr>
          <w:noProof/>
        </w:rPr>
        <w:t>S</w:t>
      </w:r>
      <w:r>
        <w:rPr>
          <w:noProof/>
        </w:rPr>
        <w:t>4 for regressions associated with the figure.</w:t>
      </w:r>
    </w:p>
    <w:p w14:paraId="5C8C9FDE" w14:textId="77777777" w:rsidR="009344E5" w:rsidRDefault="009344E5">
      <w:pPr>
        <w:rPr>
          <w:rFonts w:asciiTheme="majorHAnsi" w:eastAsiaTheme="majorEastAsia" w:hAnsiTheme="majorHAnsi" w:cstheme="majorBidi"/>
          <w:noProof/>
          <w:color w:val="2F5496" w:themeColor="accent1" w:themeShade="BF"/>
          <w:sz w:val="26"/>
          <w:szCs w:val="26"/>
        </w:rPr>
      </w:pPr>
      <w:r>
        <w:rPr>
          <w:noProof/>
        </w:rPr>
        <w:br w:type="page"/>
      </w:r>
    </w:p>
    <w:p w14:paraId="30AE481C" w14:textId="2F1BE77E" w:rsidR="003158EE" w:rsidRDefault="007B6ABA" w:rsidP="007B6ABA">
      <w:pPr>
        <w:pStyle w:val="Heading2"/>
        <w:rPr>
          <w:noProof/>
        </w:rPr>
      </w:pPr>
      <w:r>
        <w:rPr>
          <w:noProof/>
        </w:rPr>
        <w:lastRenderedPageBreak/>
        <w:t>Model Selection</w:t>
      </w:r>
    </w:p>
    <w:p w14:paraId="3CC6CC3F" w14:textId="77777777" w:rsidR="009344E5" w:rsidRDefault="009344E5" w:rsidP="009344E5"/>
    <w:p w14:paraId="72A70CFB" w14:textId="4F145690" w:rsidR="009344E5" w:rsidRPr="0003734E" w:rsidRDefault="00E7109B" w:rsidP="009344E5">
      <w:pPr>
        <w:pStyle w:val="ListParagraph"/>
        <w:numPr>
          <w:ilvl w:val="0"/>
          <w:numId w:val="2"/>
        </w:numPr>
      </w:pPr>
      <w:r>
        <w:t xml:space="preserve">Fig. </w:t>
      </w:r>
      <w:r w:rsidR="00131307">
        <w:t>S</w:t>
      </w:r>
      <w:r>
        <w:t xml:space="preserve">5 shows that the standard aDDM with </w:t>
      </w:r>
      <m:oMath>
        <m:r>
          <w:rPr>
            <w:rFonts w:ascii="Cambria Math" w:hAnsi="Cambria Math"/>
          </w:rPr>
          <m:t>θ∈</m:t>
        </m:r>
        <m:d>
          <m:dPr>
            <m:begChr m:val="["/>
            <m:endChr m:val="]"/>
            <m:ctrlPr>
              <w:rPr>
                <w:rFonts w:ascii="Cambria Math" w:hAnsi="Cambria Math"/>
                <w:i/>
              </w:rPr>
            </m:ctrlPr>
          </m:dPr>
          <m:e>
            <m:r>
              <w:rPr>
                <w:rFonts w:ascii="Cambria Math" w:hAnsi="Cambria Math"/>
              </w:rPr>
              <m:t>0,1</m:t>
            </m:r>
          </m:e>
        </m:d>
      </m:oMath>
      <w:r>
        <w:rPr>
          <w:rFonts w:eastAsiaTheme="minorEastAsia"/>
        </w:rPr>
        <w:t xml:space="preserve"> cannot explain the lack of attentional choice bias reversals in losses. While the aDDM with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0,2</m:t>
            </m:r>
          </m:e>
        </m:d>
      </m:oMath>
      <w:r>
        <w:rPr>
          <w:rFonts w:eastAsiaTheme="minorEastAsia"/>
        </w:rPr>
        <w:t xml:space="preserve"> can predict the behavior in our data, it does not make intuitive sense. Two other models can explain our data. The </w:t>
      </w:r>
      <w:proofErr w:type="spellStart"/>
      <w:r>
        <w:rPr>
          <w:rFonts w:eastAsiaTheme="minorEastAsia"/>
        </w:rPr>
        <w:t>AddDDM</w:t>
      </w:r>
      <w:proofErr w:type="spellEnd"/>
      <w:r>
        <w:rPr>
          <w:rFonts w:eastAsiaTheme="minorEastAsia"/>
        </w:rPr>
        <w:t xml:space="preserve"> is another model of attention that postulates that attention plays a value-independent role in the sequential sampling process. We are also proposing the </w:t>
      </w:r>
      <w:proofErr w:type="spellStart"/>
      <w:r>
        <w:rPr>
          <w:rFonts w:eastAsiaTheme="minorEastAsia"/>
        </w:rPr>
        <w:t>RaDDM</w:t>
      </w:r>
      <w:proofErr w:type="spellEnd"/>
      <w:r>
        <w:rPr>
          <w:rFonts w:eastAsiaTheme="minorEastAsia"/>
        </w:rPr>
        <w:t xml:space="preserve">, which incorporates reference-dependent value signals into the aDDM. The </w:t>
      </w:r>
      <w:proofErr w:type="spellStart"/>
      <w:r>
        <w:rPr>
          <w:rFonts w:eastAsiaTheme="minorEastAsia"/>
        </w:rPr>
        <w:t>RaDDM</w:t>
      </w:r>
      <w:proofErr w:type="spellEnd"/>
      <w:r>
        <w:rPr>
          <w:rFonts w:eastAsiaTheme="minorEastAsia"/>
        </w:rPr>
        <w:t xml:space="preserve"> with a reference point rule that selects reference points close to the minimum outcome in a context </w:t>
      </w:r>
      <w:proofErr w:type="gramStart"/>
      <w:r>
        <w:rPr>
          <w:rFonts w:eastAsiaTheme="minorEastAsia"/>
        </w:rPr>
        <w:t>is capable of predicting</w:t>
      </w:r>
      <w:proofErr w:type="gramEnd"/>
      <w:r>
        <w:rPr>
          <w:rFonts w:eastAsiaTheme="minorEastAsia"/>
        </w:rPr>
        <w:t xml:space="preserve"> our data.</w:t>
      </w:r>
    </w:p>
    <w:p w14:paraId="088130E7" w14:textId="77777777" w:rsidR="0003734E" w:rsidRPr="009344E5" w:rsidRDefault="0003734E" w:rsidP="0003734E">
      <w:pPr>
        <w:pStyle w:val="ListParagraph"/>
      </w:pPr>
    </w:p>
    <w:p w14:paraId="25ACC050" w14:textId="77777777" w:rsidR="00570F24" w:rsidRDefault="00CD3877" w:rsidP="00E7109B">
      <w:pPr>
        <w:pStyle w:val="Heading2"/>
        <w:jc w:val="center"/>
        <w:rPr>
          <w:noProof/>
        </w:rPr>
      </w:pPr>
      <w:r>
        <w:rPr>
          <w:noProof/>
        </w:rPr>
        <w:drawing>
          <wp:inline distT="0" distB="0" distL="0" distR="0" wp14:anchorId="05F5161C" wp14:editId="18FE55C4">
            <wp:extent cx="5029200" cy="1831682"/>
            <wp:effectExtent l="0" t="0" r="0" b="0"/>
            <wp:docPr id="90240289"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0289" name="Picture 5" descr="A table with numbers and symbo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9200" cy="1831682"/>
                    </a:xfrm>
                    <a:prstGeom prst="rect">
                      <a:avLst/>
                    </a:prstGeom>
                  </pic:spPr>
                </pic:pic>
              </a:graphicData>
            </a:graphic>
          </wp:inline>
        </w:drawing>
      </w:r>
    </w:p>
    <w:p w14:paraId="7988E98A" w14:textId="77777777" w:rsidR="00570F24" w:rsidRPr="00570F24" w:rsidRDefault="00570F24" w:rsidP="00570F24"/>
    <w:p w14:paraId="004C4488" w14:textId="5BE25109" w:rsidR="007B6ABA" w:rsidRDefault="00872FC3" w:rsidP="00E7109B">
      <w:pPr>
        <w:pStyle w:val="Heading2"/>
        <w:jc w:val="center"/>
        <w:rPr>
          <w:noProof/>
        </w:rPr>
      </w:pPr>
      <w:r>
        <w:rPr>
          <w:noProof/>
        </w:rPr>
        <w:drawing>
          <wp:inline distT="0" distB="0" distL="0" distR="0" wp14:anchorId="144B9DDD" wp14:editId="49176F1B">
            <wp:extent cx="5029200" cy="1658669"/>
            <wp:effectExtent l="0" t="0" r="0" b="5080"/>
            <wp:docPr id="103943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35212" name="Picture 10394352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1658669"/>
                    </a:xfrm>
                    <a:prstGeom prst="rect">
                      <a:avLst/>
                    </a:prstGeom>
                  </pic:spPr>
                </pic:pic>
              </a:graphicData>
            </a:graphic>
          </wp:inline>
        </w:drawing>
      </w:r>
    </w:p>
    <w:p w14:paraId="73B00CA3" w14:textId="77777777" w:rsidR="00375F44" w:rsidRDefault="00375F44" w:rsidP="00375F44"/>
    <w:p w14:paraId="4701AABD" w14:textId="5F3DC9C9" w:rsidR="00375F44" w:rsidRDefault="00375F44" w:rsidP="00375F44">
      <w:pPr>
        <w:pStyle w:val="ListParagraph"/>
        <w:numPr>
          <w:ilvl w:val="0"/>
          <w:numId w:val="2"/>
        </w:numPr>
      </w:pPr>
      <w:r>
        <w:t>The relationship between response times and overall value, emphasized in Smith and Krajbich (2019), provide</w:t>
      </w:r>
      <w:r w:rsidR="0003734E">
        <w:t>s</w:t>
      </w:r>
      <w:r>
        <w:t xml:space="preserve"> a test for what model our participants might be using. </w:t>
      </w:r>
    </w:p>
    <w:p w14:paraId="252F1406" w14:textId="7B63B239" w:rsidR="00375F44" w:rsidRDefault="0003734E" w:rsidP="00375F44">
      <w:pPr>
        <w:pStyle w:val="ListParagraph"/>
        <w:numPr>
          <w:ilvl w:val="0"/>
          <w:numId w:val="2"/>
        </w:numPr>
      </w:pPr>
      <w:r>
        <w:t xml:space="preserve">Table </w:t>
      </w:r>
      <w:r w:rsidR="00131307">
        <w:t>S</w:t>
      </w:r>
      <w:r>
        <w:t xml:space="preserve">5 shows that the RT(OV) test is capable of distinguishing between data simulated using the aDDM, </w:t>
      </w:r>
      <w:proofErr w:type="spellStart"/>
      <w:r>
        <w:t>AddDDM</w:t>
      </w:r>
      <w:proofErr w:type="spellEnd"/>
      <w:r>
        <w:t xml:space="preserve">, and </w:t>
      </w:r>
      <w:proofErr w:type="spellStart"/>
      <w:r>
        <w:t>RaDDM</w:t>
      </w:r>
      <w:proofErr w:type="spellEnd"/>
      <w:r>
        <w:t xml:space="preserve"> in the loss condition. RTs are increasing in overall value with the aDDM, independent with the </w:t>
      </w:r>
      <w:proofErr w:type="spellStart"/>
      <w:r>
        <w:t>AddDDM</w:t>
      </w:r>
      <w:proofErr w:type="spellEnd"/>
      <w:r>
        <w:t xml:space="preserve">, and decreasing with the </w:t>
      </w:r>
      <w:proofErr w:type="spellStart"/>
      <w:r>
        <w:t>RaDDM</w:t>
      </w:r>
      <w:proofErr w:type="spellEnd"/>
      <w:r>
        <w:t>.</w:t>
      </w:r>
    </w:p>
    <w:p w14:paraId="0E95FCD8" w14:textId="1DFE2124" w:rsidR="0003734E" w:rsidRPr="00570F24" w:rsidRDefault="0003734E" w:rsidP="00375F44">
      <w:pPr>
        <w:pStyle w:val="ListParagraph"/>
        <w:numPr>
          <w:ilvl w:val="0"/>
          <w:numId w:val="2"/>
        </w:numPr>
      </w:pPr>
      <w:r>
        <w:t xml:space="preserve">Table 1 shows the results of the RT(OV) test applied to data from both of our studies. </w:t>
      </w:r>
      <w:r w:rsidRPr="0003734E">
        <w:rPr>
          <w:b/>
          <w:bCs/>
        </w:rPr>
        <w:t>The tests reveal a small but significantly negative relationship between RT and OV in the loss condition for both studies. This suggests that people are using some form of reference-dependent value signals during evidence accumulation.</w:t>
      </w:r>
    </w:p>
    <w:p w14:paraId="7D179EBB" w14:textId="15B65AA2" w:rsidR="00570F24" w:rsidRDefault="00570F24" w:rsidP="00375F44">
      <w:pPr>
        <w:pStyle w:val="ListParagraph"/>
        <w:numPr>
          <w:ilvl w:val="0"/>
          <w:numId w:val="2"/>
        </w:numPr>
      </w:pPr>
      <w:r>
        <w:lastRenderedPageBreak/>
        <w:t xml:space="preserve">Table 2 shows the results from the RT(OV) test applied to our data when value difference equals 0. </w:t>
      </w:r>
      <w:r w:rsidR="009E515D">
        <w:t>We include these results since this was the second test ran in Smith and Krajbich (2019).</w:t>
      </w:r>
      <w:r w:rsidR="00872FC3">
        <w:t xml:space="preserve"> We do not see a negative relationship in RT(OV).</w:t>
      </w:r>
    </w:p>
    <w:p w14:paraId="6A4F1893" w14:textId="4BF4964F" w:rsidR="0003734E" w:rsidRPr="00375F44" w:rsidRDefault="0003734E" w:rsidP="00375F44">
      <w:pPr>
        <w:pStyle w:val="ListParagraph"/>
        <w:numPr>
          <w:ilvl w:val="0"/>
          <w:numId w:val="2"/>
        </w:numPr>
      </w:pPr>
      <w:r>
        <w:t xml:space="preserve">Table </w:t>
      </w:r>
      <w:r w:rsidR="00131307">
        <w:t>S</w:t>
      </w:r>
      <w:r>
        <w:t xml:space="preserve">6 replicates the results from Smith and Krajbich (2019) in the Study 1 gain condition. We do not see it replicated in the Study 2 </w:t>
      </w:r>
      <w:r w:rsidR="00474034">
        <w:t>gain</w:t>
      </w:r>
      <w:r>
        <w:t xml:space="preserve"> condition.</w:t>
      </w:r>
    </w:p>
    <w:p w14:paraId="111CAA43" w14:textId="77777777" w:rsidR="003158EE" w:rsidRDefault="003158EE" w:rsidP="003158EE"/>
    <w:p w14:paraId="40697324" w14:textId="77777777" w:rsidR="003158EE" w:rsidRDefault="003158EE" w:rsidP="003158EE"/>
    <w:p w14:paraId="620F9F03" w14:textId="77777777" w:rsidR="003158EE" w:rsidRPr="003158EE" w:rsidRDefault="003158EE" w:rsidP="003158EE"/>
    <w:p w14:paraId="64F7851A" w14:textId="68E00FE3" w:rsidR="003158EE" w:rsidRDefault="00570F24" w:rsidP="00CD3877">
      <w:pPr>
        <w:jc w:val="center"/>
      </w:pPr>
      <w:r>
        <w:br w:type="column"/>
      </w:r>
      <w:r w:rsidR="00CD3877">
        <w:rPr>
          <w:noProof/>
        </w:rPr>
        <w:lastRenderedPageBreak/>
        <w:drawing>
          <wp:inline distT="0" distB="0" distL="0" distR="0" wp14:anchorId="334B17F5" wp14:editId="75076BA0">
            <wp:extent cx="5943600" cy="1981200"/>
            <wp:effectExtent l="0" t="0" r="0" b="0"/>
            <wp:docPr id="8002299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29953" name="Picture 800229953"/>
                    <pic:cNvPicPr/>
                  </pic:nvPicPr>
                  <pic:blipFill>
                    <a:blip r:embed="rId12">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69A8E603" w14:textId="0F419F7D" w:rsidR="007B6ABA" w:rsidRDefault="003158EE" w:rsidP="003158EE">
      <w:r>
        <w:t xml:space="preserve">Fig. 6. Model Comparison.  </w:t>
      </w:r>
      <w:r w:rsidRPr="003158EE">
        <w:t xml:space="preserve">Each plot depicts the posterior model probabilities within a study and condition. Each dot represents the posterior model probability for a model (x-axis) for a single participant. For each participant, the sum of their </w:t>
      </w:r>
      <w:r>
        <w:t>four</w:t>
      </w:r>
      <w:r w:rsidRPr="003158EE">
        <w:t xml:space="preserve"> dots spread across the three columns in each plot adds to 1. Boxplots present the 25th, 50th, and 75th percentiles. </w:t>
      </w:r>
      <w:proofErr w:type="spellStart"/>
      <w:r w:rsidRPr="003158EE">
        <w:t>AddDDM</w:t>
      </w:r>
      <w:proofErr w:type="spellEnd"/>
      <w:r w:rsidR="00A6304F">
        <w:t>:</w:t>
      </w:r>
      <w:r w:rsidRPr="003158EE">
        <w:t xml:space="preserve"> the additive model of attention. </w:t>
      </w:r>
      <w:proofErr w:type="spellStart"/>
      <w:r w:rsidRPr="003158EE">
        <w:t>RaDDM</w:t>
      </w:r>
      <w:proofErr w:type="spellEnd"/>
      <w:r w:rsidR="00A6304F">
        <w:t xml:space="preserve">: </w:t>
      </w:r>
      <w:r w:rsidRPr="003158EE">
        <w:t>the reference-dependent aDDM with standard</w:t>
      </w:r>
      <w:r w:rsidR="00A6304F">
        <w:t xml:space="preserve"> </w:t>
      </w:r>
      <m:oMath>
        <m:d>
          <m:dPr>
            <m:begChr m:val="["/>
            <m:endChr m:val="]"/>
            <m:ctrlPr>
              <w:rPr>
                <w:rFonts w:ascii="Cambria Math" w:hAnsi="Cambria Math"/>
                <w:i/>
              </w:rPr>
            </m:ctrlPr>
          </m:dPr>
          <m:e>
            <m:r>
              <w:rPr>
                <w:rFonts w:ascii="Cambria Math" w:hAnsi="Cambria Math"/>
              </w:rPr>
              <m:t>0,1</m:t>
            </m:r>
          </m:e>
        </m:d>
      </m:oMath>
      <w:r w:rsidRPr="003158EE">
        <w:t xml:space="preserve"> bounds on the attentional parameter.</w:t>
      </w:r>
      <w:r w:rsidR="00A6304F">
        <w:t xml:space="preserve"> </w:t>
      </w:r>
      <w:proofErr w:type="spellStart"/>
      <w:r w:rsidR="00A6304F">
        <w:t>MMaDDM</w:t>
      </w:r>
      <w:proofErr w:type="spellEnd"/>
      <w:r w:rsidR="00A6304F">
        <w:t xml:space="preserve">: the standard aDDM with </w:t>
      </w:r>
      <w:proofErr w:type="spellStart"/>
      <w:r w:rsidR="00A6304F">
        <w:t>MaxMin</w:t>
      </w:r>
      <w:proofErr w:type="spellEnd"/>
      <w:r w:rsidR="00A6304F">
        <w:t xml:space="preserve"> Prospect Theory value signals. </w:t>
      </w:r>
      <w:proofErr w:type="spellStart"/>
      <w:r w:rsidR="00A6304F">
        <w:t>SQaDDM</w:t>
      </w:r>
      <w:proofErr w:type="spellEnd"/>
      <w:r w:rsidR="00A6304F">
        <w:t>: the standard aDDM with Status Quo Prospect Theory value signals.</w:t>
      </w:r>
      <w:r w:rsidR="00131307">
        <w:t xml:space="preserve"> Data from the </w:t>
      </w:r>
      <w:r w:rsidR="003C4AD0">
        <w:t xml:space="preserve">training subset of </w:t>
      </w:r>
      <w:r w:rsidR="00131307">
        <w:t>joint dataset.</w:t>
      </w:r>
    </w:p>
    <w:p w14:paraId="60C03A6D" w14:textId="77777777" w:rsidR="00042A3F" w:rsidRDefault="00042A3F" w:rsidP="003158EE"/>
    <w:p w14:paraId="6D5024F8" w14:textId="77777777" w:rsidR="00C17C2B" w:rsidRDefault="00042A3F" w:rsidP="00042A3F">
      <w:pPr>
        <w:pStyle w:val="ListParagraph"/>
        <w:numPr>
          <w:ilvl w:val="0"/>
          <w:numId w:val="2"/>
        </w:numPr>
      </w:pPr>
      <w:r>
        <w:t xml:space="preserve">We simultaneously fit 4 models using the aDDM Toolbox by </w:t>
      </w:r>
      <w:proofErr w:type="spellStart"/>
      <w:r>
        <w:t>Enkavi</w:t>
      </w:r>
      <w:proofErr w:type="spellEnd"/>
      <w:r>
        <w:t xml:space="preserve"> et al. (2024). This allows us to, for each participant, calculate posterior model probabilities of each model. The 4 models we selected were the </w:t>
      </w:r>
      <w:proofErr w:type="spellStart"/>
      <w:r>
        <w:t>AddDDM</w:t>
      </w:r>
      <w:proofErr w:type="spellEnd"/>
      <w:r>
        <w:t xml:space="preserve">, </w:t>
      </w:r>
      <w:proofErr w:type="spellStart"/>
      <w:r>
        <w:t>RaDDM</w:t>
      </w:r>
      <w:proofErr w:type="spellEnd"/>
      <w:r>
        <w:t xml:space="preserve">, </w:t>
      </w:r>
      <w:proofErr w:type="spellStart"/>
      <w:r>
        <w:t>MMaDDM</w:t>
      </w:r>
      <w:proofErr w:type="spellEnd"/>
      <w:r>
        <w:t xml:space="preserve">, and </w:t>
      </w:r>
      <w:proofErr w:type="spellStart"/>
      <w:r>
        <w:t>SQaDDM</w:t>
      </w:r>
      <w:proofErr w:type="spellEnd"/>
      <w:r>
        <w:t xml:space="preserve">. </w:t>
      </w:r>
      <w:r w:rsidR="002E15F6">
        <w:t xml:space="preserve">We selected the </w:t>
      </w:r>
      <w:proofErr w:type="spellStart"/>
      <w:r w:rsidR="002E15F6">
        <w:t>MMaDDM</w:t>
      </w:r>
      <w:proofErr w:type="spellEnd"/>
      <w:r w:rsidR="002E15F6">
        <w:t xml:space="preserve"> and </w:t>
      </w:r>
      <w:proofErr w:type="spellStart"/>
      <w:r w:rsidR="002E15F6">
        <w:t>SQaDDM</w:t>
      </w:r>
      <w:proofErr w:type="spellEnd"/>
      <w:r w:rsidR="002E15F6">
        <w:t xml:space="preserve"> based on </w:t>
      </w:r>
      <w:proofErr w:type="spellStart"/>
      <w:r w:rsidR="002E15F6">
        <w:t>Baillon</w:t>
      </w:r>
      <w:proofErr w:type="spellEnd"/>
      <w:r w:rsidR="002E15F6">
        <w:t xml:space="preserve"> et al. (2020) </w:t>
      </w:r>
      <w:proofErr w:type="gramStart"/>
      <w:r w:rsidR="002E15F6">
        <w:t>in order to</w:t>
      </w:r>
      <w:proofErr w:type="gramEnd"/>
      <w:r w:rsidR="002E15F6">
        <w:t xml:space="preserve"> compare the </w:t>
      </w:r>
      <w:proofErr w:type="spellStart"/>
      <w:r w:rsidR="002E15F6">
        <w:t>RaDDM</w:t>
      </w:r>
      <w:proofErr w:type="spellEnd"/>
      <w:r w:rsidR="002E15F6">
        <w:t xml:space="preserve"> against some formal reference point rules.</w:t>
      </w:r>
      <w:r w:rsidR="002D467E">
        <w:t xml:space="preserve"> </w:t>
      </w:r>
    </w:p>
    <w:p w14:paraId="72572D03" w14:textId="07688CFB" w:rsidR="00042A3F" w:rsidRDefault="002D467E" w:rsidP="00042A3F">
      <w:pPr>
        <w:pStyle w:val="ListParagraph"/>
        <w:numPr>
          <w:ilvl w:val="0"/>
          <w:numId w:val="2"/>
        </w:numPr>
      </w:pPr>
      <w:r>
        <w:t xml:space="preserve">The </w:t>
      </w:r>
      <w:proofErr w:type="spellStart"/>
      <w:r>
        <w:t>MMaDDM</w:t>
      </w:r>
      <w:proofErr w:type="spellEnd"/>
      <w:r>
        <w:t xml:space="preserve"> and </w:t>
      </w:r>
      <w:proofErr w:type="spellStart"/>
      <w:r>
        <w:t>SQaDDM</w:t>
      </w:r>
      <w:proofErr w:type="spellEnd"/>
      <w:r>
        <w:t xml:space="preserve"> require that Prospect Theory is fitted to participants’ choice data before feeding in the predicted value signals into the aDDM. Fig. </w:t>
      </w:r>
      <w:r w:rsidR="00C10E5F">
        <w:t>S</w:t>
      </w:r>
      <w:r>
        <w:t>6</w:t>
      </w:r>
      <w:r w:rsidR="003E3985">
        <w:t xml:space="preserve"> and </w:t>
      </w:r>
      <w:r w:rsidR="00C10E5F">
        <w:t>S</w:t>
      </w:r>
      <w:r w:rsidR="003E3985">
        <w:t>7</w:t>
      </w:r>
      <w:r>
        <w:t xml:space="preserve"> </w:t>
      </w:r>
      <w:r w:rsidR="00C17C2B">
        <w:t xml:space="preserve">show the fitted Prospect Theory parameters for both reference point rules, </w:t>
      </w:r>
      <w:proofErr w:type="gramStart"/>
      <w:r w:rsidR="00C17C2B">
        <w:t>as well as,</w:t>
      </w:r>
      <w:proofErr w:type="gramEnd"/>
      <w:r w:rsidR="00C17C2B">
        <w:t xml:space="preserve"> the out-of-sample choice performance of the two rules. Note that both rules </w:t>
      </w:r>
      <w:proofErr w:type="gramStart"/>
      <w:r w:rsidR="00C17C2B">
        <w:t>are capable of explaining</w:t>
      </w:r>
      <w:proofErr w:type="gramEnd"/>
      <w:r w:rsidR="00C17C2B">
        <w:t xml:space="preserve"> choices well and yield similar Prospect Theory estimates. </w:t>
      </w:r>
    </w:p>
    <w:p w14:paraId="0091F2DB" w14:textId="2BBBC437" w:rsidR="002E15F6" w:rsidRDefault="00E41A5B" w:rsidP="00042A3F">
      <w:pPr>
        <w:pStyle w:val="ListParagraph"/>
        <w:numPr>
          <w:ilvl w:val="0"/>
          <w:numId w:val="2"/>
        </w:numPr>
      </w:pPr>
      <w:r>
        <w:t>W</w:t>
      </w:r>
      <w:r w:rsidR="002E15F6">
        <w:t xml:space="preserve">e did not design our studies to distinguish between these models. Therefore, the </w:t>
      </w:r>
      <w:proofErr w:type="spellStart"/>
      <w:r w:rsidR="002E15F6">
        <w:t>MMaDDM</w:t>
      </w:r>
      <w:proofErr w:type="spellEnd"/>
      <w:r w:rsidR="002E15F6">
        <w:t xml:space="preserve"> and </w:t>
      </w:r>
      <w:proofErr w:type="spellStart"/>
      <w:r w:rsidR="002E15F6">
        <w:t>SQaDDM</w:t>
      </w:r>
      <w:proofErr w:type="spellEnd"/>
      <w:r w:rsidR="002E15F6">
        <w:t xml:space="preserve"> are identical in the gain condition of both studies, resulting in identical posterior model probabilities.</w:t>
      </w:r>
    </w:p>
    <w:p w14:paraId="74164DC1" w14:textId="2EDC217C" w:rsidR="00B31974" w:rsidRDefault="00B31974" w:rsidP="00042A3F">
      <w:pPr>
        <w:pStyle w:val="ListParagraph"/>
        <w:numPr>
          <w:ilvl w:val="0"/>
          <w:numId w:val="2"/>
        </w:numPr>
      </w:pPr>
      <w:r>
        <w:t xml:space="preserve">In the Study 1 gain condition, the </w:t>
      </w:r>
      <w:proofErr w:type="spellStart"/>
      <w:r>
        <w:t>RaDDM</w:t>
      </w:r>
      <w:proofErr w:type="spellEnd"/>
      <w:r>
        <w:t xml:space="preserve"> clearly outperforms the other models for most subjects. In the Study 1 loss condition, both the </w:t>
      </w:r>
      <w:proofErr w:type="spellStart"/>
      <w:r>
        <w:t>AddDDM</w:t>
      </w:r>
      <w:proofErr w:type="spellEnd"/>
      <w:r>
        <w:t xml:space="preserve"> and </w:t>
      </w:r>
      <w:proofErr w:type="spellStart"/>
      <w:r>
        <w:t>RaDDM</w:t>
      </w:r>
      <w:proofErr w:type="spellEnd"/>
      <w:r>
        <w:t xml:space="preserve"> perform well. Participants who are best fit by the </w:t>
      </w:r>
      <w:proofErr w:type="spellStart"/>
      <w:r>
        <w:t>AddDDM</w:t>
      </w:r>
      <w:proofErr w:type="spellEnd"/>
      <w:r>
        <w:t xml:space="preserve"> are worse fit by the </w:t>
      </w:r>
      <w:proofErr w:type="spellStart"/>
      <w:r>
        <w:t>RaDDM</w:t>
      </w:r>
      <w:proofErr w:type="spellEnd"/>
      <w:r>
        <w:t xml:space="preserve"> (and vice versa), suggesting that there might be subgroups of participants with different roles of attention during their decision-making process.</w:t>
      </w:r>
    </w:p>
    <w:p w14:paraId="2CFC0484" w14:textId="01BB0D30" w:rsidR="00C91CB7" w:rsidRDefault="00C91CB7" w:rsidP="00042A3F">
      <w:pPr>
        <w:pStyle w:val="ListParagraph"/>
        <w:numPr>
          <w:ilvl w:val="0"/>
          <w:numId w:val="2"/>
        </w:numPr>
      </w:pPr>
      <w:r>
        <w:t xml:space="preserve">In the Study 2 gain condition, the </w:t>
      </w:r>
      <w:proofErr w:type="spellStart"/>
      <w:r>
        <w:t>RaDDM</w:t>
      </w:r>
      <w:proofErr w:type="spellEnd"/>
      <w:r>
        <w:t xml:space="preserve"> performs the best for most subjects, though the </w:t>
      </w:r>
      <w:proofErr w:type="spellStart"/>
      <w:r>
        <w:t>MMaDDM</w:t>
      </w:r>
      <w:proofErr w:type="spellEnd"/>
      <w:r>
        <w:t xml:space="preserve"> and </w:t>
      </w:r>
      <w:proofErr w:type="spellStart"/>
      <w:r>
        <w:t>SQaDDM</w:t>
      </w:r>
      <w:proofErr w:type="spellEnd"/>
      <w:r>
        <w:t xml:space="preserve"> also perform well for some participants. For all the subjects who are not fit well by the </w:t>
      </w:r>
      <w:proofErr w:type="spellStart"/>
      <w:r>
        <w:t>RaDDM</w:t>
      </w:r>
      <w:proofErr w:type="spellEnd"/>
      <w:r>
        <w:t xml:space="preserve">, they are fit well by the </w:t>
      </w:r>
      <w:proofErr w:type="spellStart"/>
      <w:r>
        <w:t>MMaDDM</w:t>
      </w:r>
      <w:proofErr w:type="spellEnd"/>
      <w:r>
        <w:t xml:space="preserve"> and </w:t>
      </w:r>
      <w:proofErr w:type="spellStart"/>
      <w:r>
        <w:t>SQaDDM</w:t>
      </w:r>
      <w:proofErr w:type="spellEnd"/>
      <w:r>
        <w:t xml:space="preserve">. In the Study 2 loss condition, the </w:t>
      </w:r>
      <w:proofErr w:type="spellStart"/>
      <w:r>
        <w:t>RaDDM</w:t>
      </w:r>
      <w:proofErr w:type="spellEnd"/>
      <w:r>
        <w:t xml:space="preserve"> and </w:t>
      </w:r>
      <w:proofErr w:type="spellStart"/>
      <w:r>
        <w:t>MMaDDM</w:t>
      </w:r>
      <w:proofErr w:type="spellEnd"/>
      <w:r>
        <w:t xml:space="preserve"> perform well. Again, for those who were not fit well by the </w:t>
      </w:r>
      <w:proofErr w:type="spellStart"/>
      <w:r>
        <w:t>RaDDM</w:t>
      </w:r>
      <w:proofErr w:type="spellEnd"/>
      <w:r>
        <w:t xml:space="preserve">, most were fit very well by the </w:t>
      </w:r>
      <w:proofErr w:type="spellStart"/>
      <w:r>
        <w:t>MMaDDM</w:t>
      </w:r>
      <w:proofErr w:type="spellEnd"/>
      <w:r w:rsidR="00C10E5F">
        <w:t xml:space="preserve"> (and vice versa)</w:t>
      </w:r>
      <w:r>
        <w:t xml:space="preserve">. </w:t>
      </w:r>
    </w:p>
    <w:p w14:paraId="75C35F05" w14:textId="2E22806A" w:rsidR="00C91CB7" w:rsidRDefault="00C91CB7" w:rsidP="00042A3F">
      <w:pPr>
        <w:pStyle w:val="ListParagraph"/>
        <w:numPr>
          <w:ilvl w:val="0"/>
          <w:numId w:val="2"/>
        </w:numPr>
      </w:pPr>
      <w:r>
        <w:lastRenderedPageBreak/>
        <w:t xml:space="preserve">Due to the consistency in its performance along with the results from the RT(OV) test, we will be basing model analyses on the </w:t>
      </w:r>
      <w:proofErr w:type="spellStart"/>
      <w:r>
        <w:t>RaDDM</w:t>
      </w:r>
      <w:proofErr w:type="spellEnd"/>
      <w:r>
        <w:t>.</w:t>
      </w:r>
    </w:p>
    <w:p w14:paraId="4E9A9124" w14:textId="3586FD53" w:rsidR="00BA418A" w:rsidRDefault="00BA418A" w:rsidP="00042A3F">
      <w:pPr>
        <w:pStyle w:val="ListParagraph"/>
        <w:numPr>
          <w:ilvl w:val="0"/>
          <w:numId w:val="2"/>
        </w:numPr>
      </w:pPr>
      <w:r>
        <w:t>See Fig. S8 for the posterior model probabilities, split by exploratory and confirmatory dataset. Note the consistency in the performance of each model.</w:t>
      </w:r>
    </w:p>
    <w:p w14:paraId="76ED02E2" w14:textId="24B3A654" w:rsidR="00E259CE" w:rsidRDefault="00E259CE" w:rsidP="00042A3F">
      <w:pPr>
        <w:pStyle w:val="ListParagraph"/>
        <w:numPr>
          <w:ilvl w:val="0"/>
          <w:numId w:val="2"/>
        </w:numPr>
      </w:pPr>
      <w:r>
        <w:t xml:space="preserve">See Fig. </w:t>
      </w:r>
      <w:r w:rsidR="00EB761E">
        <w:t>S</w:t>
      </w:r>
      <w:r w:rsidR="00BA418A">
        <w:t>9</w:t>
      </w:r>
      <w:r>
        <w:t xml:space="preserve"> for Alluvial plots depicting how frequently participants had matching best-fitting models in the gain and loss conditions.</w:t>
      </w:r>
      <w:r w:rsidR="00100379">
        <w:t xml:space="preserve"> </w:t>
      </w:r>
      <w:r w:rsidR="00100379" w:rsidRPr="00100379">
        <w:t xml:space="preserve">In Study 1, about half of the subjects who are </w:t>
      </w:r>
      <w:proofErr w:type="spellStart"/>
      <w:r w:rsidR="00100379" w:rsidRPr="00100379">
        <w:t>RaDDM</w:t>
      </w:r>
      <w:proofErr w:type="spellEnd"/>
      <w:r w:rsidR="00100379" w:rsidRPr="00100379">
        <w:t xml:space="preserve"> in gains split off and become </w:t>
      </w:r>
      <w:proofErr w:type="spellStart"/>
      <w:r w:rsidR="00100379" w:rsidRPr="00100379">
        <w:t>AddDDM</w:t>
      </w:r>
      <w:proofErr w:type="spellEnd"/>
      <w:r w:rsidR="00100379" w:rsidRPr="00100379">
        <w:t xml:space="preserve"> in losses. Looking closer at Fig 6, nearly </w:t>
      </w:r>
      <w:proofErr w:type="gramStart"/>
      <w:r w:rsidR="00100379" w:rsidRPr="00100379">
        <w:t>all of</w:t>
      </w:r>
      <w:proofErr w:type="gramEnd"/>
      <w:r w:rsidR="00100379" w:rsidRPr="00100379">
        <w:t xml:space="preserve"> these subjects who switched are still second-best-fit by the </w:t>
      </w:r>
      <w:proofErr w:type="spellStart"/>
      <w:r w:rsidR="00100379" w:rsidRPr="00100379">
        <w:t>RaDDM</w:t>
      </w:r>
      <w:proofErr w:type="spellEnd"/>
      <w:r w:rsidR="00100379" w:rsidRPr="00100379">
        <w:t xml:space="preserve"> (and half of those have posterior model probabilities that are lower by an "insignificant" margin). In Study 2, about a third of the </w:t>
      </w:r>
      <w:proofErr w:type="spellStart"/>
      <w:r w:rsidR="00100379" w:rsidRPr="00100379">
        <w:t>RaDDM</w:t>
      </w:r>
      <w:proofErr w:type="spellEnd"/>
      <w:r w:rsidR="00100379" w:rsidRPr="00100379">
        <w:t xml:space="preserve"> subjects in gains stay as </w:t>
      </w:r>
      <w:proofErr w:type="spellStart"/>
      <w:r w:rsidR="00100379" w:rsidRPr="00100379">
        <w:t>RaDDM</w:t>
      </w:r>
      <w:proofErr w:type="spellEnd"/>
      <w:r w:rsidR="00100379" w:rsidRPr="00100379">
        <w:t xml:space="preserve"> in losses, a third become </w:t>
      </w:r>
      <w:proofErr w:type="spellStart"/>
      <w:r w:rsidR="00100379" w:rsidRPr="00100379">
        <w:t>MMaDDM</w:t>
      </w:r>
      <w:proofErr w:type="spellEnd"/>
      <w:r w:rsidR="00100379" w:rsidRPr="00100379">
        <w:t xml:space="preserve">, and the rest become either </w:t>
      </w:r>
      <w:proofErr w:type="spellStart"/>
      <w:r w:rsidR="00100379" w:rsidRPr="00100379">
        <w:t>AddDDM</w:t>
      </w:r>
      <w:proofErr w:type="spellEnd"/>
      <w:r w:rsidR="00100379" w:rsidRPr="00100379">
        <w:t xml:space="preserve"> or </w:t>
      </w:r>
      <w:proofErr w:type="spellStart"/>
      <w:r w:rsidR="00100379" w:rsidRPr="00100379">
        <w:t>SQaDDM</w:t>
      </w:r>
      <w:proofErr w:type="spellEnd"/>
      <w:r w:rsidR="00100379" w:rsidRPr="00100379">
        <w:t xml:space="preserve">. This means the majority of subjects who were using </w:t>
      </w:r>
      <w:proofErr w:type="spellStart"/>
      <w:r w:rsidR="00100379" w:rsidRPr="00100379">
        <w:t>RaDDM</w:t>
      </w:r>
      <w:proofErr w:type="spellEnd"/>
      <w:r w:rsidR="00100379" w:rsidRPr="00100379">
        <w:t xml:space="preserve"> in gains also used a reference-dependent model in losses.</w:t>
      </w:r>
    </w:p>
    <w:p w14:paraId="2EAE34F9" w14:textId="48CBE748" w:rsidR="007B6ABA" w:rsidRDefault="0086515D" w:rsidP="002D467E">
      <w:pPr>
        <w:pStyle w:val="ListParagraph"/>
        <w:numPr>
          <w:ilvl w:val="0"/>
          <w:numId w:val="2"/>
        </w:numPr>
      </w:pPr>
      <w:r>
        <w:t>See F</w:t>
      </w:r>
      <w:r w:rsidR="00BA418A">
        <w:t>i</w:t>
      </w:r>
      <w:r>
        <w:t xml:space="preserve">g. </w:t>
      </w:r>
      <w:r w:rsidR="00BA418A">
        <w:t>S10</w:t>
      </w:r>
      <w:r>
        <w:t xml:space="preserve"> for model recovery analyses. These exercises show that the data generating process can be recovered with the method used above.</w:t>
      </w:r>
    </w:p>
    <w:p w14:paraId="7AE3EBDE" w14:textId="77777777" w:rsidR="007B6ABA" w:rsidRDefault="007B6ABA" w:rsidP="007B6ABA">
      <w:pPr>
        <w:jc w:val="both"/>
        <w:rPr>
          <w:noProof/>
        </w:rPr>
      </w:pPr>
    </w:p>
    <w:p w14:paraId="44D3AF4C" w14:textId="77777777" w:rsidR="00E41A5B" w:rsidRDefault="00E41A5B">
      <w:pPr>
        <w:rPr>
          <w:rFonts w:asciiTheme="majorHAnsi" w:eastAsiaTheme="majorEastAsia" w:hAnsiTheme="majorHAnsi" w:cstheme="majorBidi"/>
          <w:noProof/>
          <w:color w:val="2F5496" w:themeColor="accent1" w:themeShade="BF"/>
          <w:sz w:val="26"/>
          <w:szCs w:val="26"/>
        </w:rPr>
      </w:pPr>
      <w:r>
        <w:rPr>
          <w:noProof/>
        </w:rPr>
        <w:br w:type="page"/>
      </w:r>
    </w:p>
    <w:p w14:paraId="2E66AE17" w14:textId="5D634826" w:rsidR="007B6ABA" w:rsidRDefault="007B6ABA" w:rsidP="007B6ABA">
      <w:pPr>
        <w:pStyle w:val="Heading2"/>
        <w:rPr>
          <w:noProof/>
        </w:rPr>
      </w:pPr>
      <w:r>
        <w:rPr>
          <w:noProof/>
        </w:rPr>
        <w:lastRenderedPageBreak/>
        <w:t>Reference-Dependent aDDM (RaDDM)</w:t>
      </w:r>
    </w:p>
    <w:p w14:paraId="5735B0BD" w14:textId="77777777" w:rsidR="0086515D" w:rsidRPr="0086515D" w:rsidRDefault="0086515D" w:rsidP="0086515D"/>
    <w:p w14:paraId="1C531DFC" w14:textId="64D7F934" w:rsidR="007B6ABA" w:rsidRDefault="00CD3877" w:rsidP="00CD3877">
      <w:pPr>
        <w:jc w:val="center"/>
      </w:pPr>
      <w:r>
        <w:rPr>
          <w:noProof/>
        </w:rPr>
        <w:drawing>
          <wp:inline distT="0" distB="0" distL="0" distR="0" wp14:anchorId="4C802112" wp14:editId="45B5FF87">
            <wp:extent cx="5943600" cy="2196465"/>
            <wp:effectExtent l="0" t="0" r="0" b="635"/>
            <wp:docPr id="1690357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57553" name="Picture 1690357553"/>
                    <pic:cNvPicPr/>
                  </pic:nvPicPr>
                  <pic:blipFill>
                    <a:blip r:embed="rId13">
                      <a:extLst>
                        <a:ext uri="{28A0092B-C50C-407E-A947-70E740481C1C}">
                          <a14:useLocalDpi xmlns:a14="http://schemas.microsoft.com/office/drawing/2010/main" val="0"/>
                        </a:ext>
                      </a:extLst>
                    </a:blip>
                    <a:stretch>
                      <a:fillRect/>
                    </a:stretch>
                  </pic:blipFill>
                  <pic:spPr>
                    <a:xfrm>
                      <a:off x="0" y="0"/>
                      <a:ext cx="5943600" cy="2196465"/>
                    </a:xfrm>
                    <a:prstGeom prst="rect">
                      <a:avLst/>
                    </a:prstGeom>
                  </pic:spPr>
                </pic:pic>
              </a:graphicData>
            </a:graphic>
          </wp:inline>
        </w:drawing>
      </w:r>
    </w:p>
    <w:p w14:paraId="6C0EE0AB" w14:textId="358CB073" w:rsidR="007B6ABA" w:rsidRDefault="007B6ABA" w:rsidP="007B6ABA">
      <w:pPr>
        <w:rPr>
          <w:rFonts w:eastAsiaTheme="minorEastAsia"/>
        </w:rPr>
      </w:pPr>
      <w:r>
        <w:t xml:space="preserve">Fig. </w:t>
      </w:r>
      <w:r w:rsidR="003158EE">
        <w:t>7</w:t>
      </w:r>
      <w:r>
        <w:t xml:space="preserve">. Participant-Level </w:t>
      </w:r>
      <w:proofErr w:type="spellStart"/>
      <w:r>
        <w:t>RaDDM</w:t>
      </w:r>
      <w:proofErr w:type="spellEnd"/>
      <w:r>
        <w:t xml:space="preserve"> Estimates. Estimates of the drift rate (</w:t>
      </w:r>
      <m:oMath>
        <m:r>
          <w:rPr>
            <w:rFonts w:ascii="Cambria Math" w:hAnsi="Cambria Math"/>
          </w:rPr>
          <m:t>d</m:t>
        </m:r>
      </m:oMath>
      <w:r>
        <w:rPr>
          <w:rFonts w:eastAsiaTheme="minorEastAsia"/>
        </w:rPr>
        <w:t>), noise (</w:t>
      </w:r>
      <m:oMath>
        <m:r>
          <w:rPr>
            <w:rFonts w:ascii="Cambria Math" w:eastAsiaTheme="minorEastAsia" w:hAnsi="Cambria Math"/>
          </w:rPr>
          <m:t>σ</m:t>
        </m:r>
      </m:oMath>
      <w:r>
        <w:rPr>
          <w:rFonts w:eastAsiaTheme="minorEastAsia"/>
        </w:rPr>
        <w:t>), attentional bias (</w:t>
      </w:r>
      <m:oMath>
        <m:r>
          <w:rPr>
            <w:rFonts w:ascii="Cambria Math" w:eastAsiaTheme="minorEastAsia" w:hAnsi="Cambria Math"/>
          </w:rPr>
          <m:t>θ</m:t>
        </m:r>
      </m:oMath>
      <w:r>
        <w:rPr>
          <w:rFonts w:eastAsiaTheme="minorEastAsia"/>
        </w:rPr>
        <w:t>), and reference point (</w:t>
      </w:r>
      <m:oMath>
        <m:r>
          <w:rPr>
            <w:rFonts w:ascii="Cambria Math" w:eastAsiaTheme="minorEastAsia" w:hAnsi="Cambria Math"/>
          </w:rPr>
          <m:t>r)</m:t>
        </m:r>
      </m:oMath>
      <w:r>
        <w:rPr>
          <w:rFonts w:eastAsiaTheme="minorEastAsia"/>
        </w:rPr>
        <w:t xml:space="preserve"> in the loss condition as a function of their counterpart in the gain condition. For </w:t>
      </w:r>
      <m:oMath>
        <m:r>
          <w:rPr>
            <w:rFonts w:ascii="Cambria Math" w:eastAsiaTheme="minorEastAsia" w:hAnsi="Cambria Math"/>
          </w:rPr>
          <m:t>d</m:t>
        </m:r>
      </m:oMath>
      <w:r>
        <w:rPr>
          <w:rFonts w:eastAsiaTheme="minorEastAsia"/>
        </w:rPr>
        <w:t xml:space="preserve">, </w:t>
      </w:r>
      <m:oMath>
        <m:r>
          <w:rPr>
            <w:rFonts w:ascii="Cambria Math" w:eastAsiaTheme="minorEastAsia" w:hAnsi="Cambria Math"/>
          </w:rPr>
          <m:t>σ</m:t>
        </m:r>
      </m:oMath>
      <w:r>
        <w:rPr>
          <w:rFonts w:eastAsiaTheme="minorEastAsia"/>
        </w:rPr>
        <w:t xml:space="preserve">, and </w:t>
      </w:r>
      <m:oMath>
        <m:r>
          <w:rPr>
            <w:rFonts w:ascii="Cambria Math" w:eastAsiaTheme="minorEastAsia" w:hAnsi="Cambria Math"/>
          </w:rPr>
          <m:t>θ</m:t>
        </m:r>
      </m:oMath>
      <w:r>
        <w:rPr>
          <w:rFonts w:eastAsiaTheme="minorEastAsia"/>
        </w:rPr>
        <w:t xml:space="preserve">, grey lines indicate the equality across the two conditions. For </w:t>
      </w:r>
      <m:oMath>
        <m:r>
          <w:rPr>
            <w:rFonts w:ascii="Cambria Math" w:eastAsiaTheme="minorEastAsia" w:hAnsi="Cambria Math"/>
          </w:rPr>
          <m:t>r</m:t>
        </m:r>
      </m:oMath>
      <w:r>
        <w:rPr>
          <w:rFonts w:eastAsiaTheme="minorEastAsia"/>
        </w:rPr>
        <w:t>, grey lines indicate the minimum possible outcome in that condition for that study.</w:t>
      </w:r>
      <w:r w:rsidR="00D84C72">
        <w:rPr>
          <w:rFonts w:eastAsiaTheme="minorEastAsia"/>
        </w:rPr>
        <w:t xml:space="preserve"> Study 1 in blue, Study 2 in </w:t>
      </w:r>
      <w:r w:rsidR="00751F2E">
        <w:rPr>
          <w:rFonts w:eastAsiaTheme="minorEastAsia"/>
        </w:rPr>
        <w:t>red</w:t>
      </w:r>
      <w:r w:rsidR="00D84C72">
        <w:rPr>
          <w:rFonts w:eastAsiaTheme="minorEastAsia"/>
        </w:rPr>
        <w:t>.</w:t>
      </w:r>
    </w:p>
    <w:p w14:paraId="12BE86F6" w14:textId="77777777" w:rsidR="0086515D" w:rsidRDefault="0086515D" w:rsidP="007B6ABA">
      <w:pPr>
        <w:rPr>
          <w:rFonts w:eastAsiaTheme="minorEastAsia"/>
        </w:rPr>
      </w:pPr>
    </w:p>
    <w:p w14:paraId="15211D40" w14:textId="55805625" w:rsidR="00B12501" w:rsidRPr="00B12501" w:rsidRDefault="00B12501" w:rsidP="00B12501">
      <w:pPr>
        <w:pStyle w:val="ListParagraph"/>
        <w:numPr>
          <w:ilvl w:val="0"/>
          <w:numId w:val="2"/>
        </w:numPr>
        <w:rPr>
          <w:rFonts w:eastAsiaTheme="minorEastAsia"/>
        </w:rPr>
      </w:pPr>
      <w:r>
        <w:rPr>
          <w:rFonts w:eastAsiaTheme="minorEastAsia"/>
        </w:rPr>
        <w:t>See Fig. S11 for the same plot, split by exploratory and confirmatory dataset. Note the consistency across the two datasets.</w:t>
      </w:r>
    </w:p>
    <w:p w14:paraId="6EAFFC13" w14:textId="3D26D0B2" w:rsidR="00091699" w:rsidRDefault="00091699" w:rsidP="0086515D">
      <w:pPr>
        <w:pStyle w:val="ListParagraph"/>
        <w:numPr>
          <w:ilvl w:val="0"/>
          <w:numId w:val="2"/>
        </w:numPr>
        <w:rPr>
          <w:rFonts w:eastAsiaTheme="minorEastAsia"/>
        </w:rPr>
      </w:pPr>
      <w:r>
        <w:rPr>
          <w:rFonts w:eastAsiaTheme="minorEastAsia"/>
        </w:rPr>
        <w:t>Drift rates differ between the two studies, mostly due to differences in the magnitudes of the value signals. Drift rate does not seem to differ in a meaningful way across conditions in either study.</w:t>
      </w:r>
    </w:p>
    <w:p w14:paraId="32878F43" w14:textId="77777777" w:rsidR="00091699" w:rsidRDefault="00091699" w:rsidP="0086515D">
      <w:pPr>
        <w:pStyle w:val="ListParagraph"/>
        <w:numPr>
          <w:ilvl w:val="0"/>
          <w:numId w:val="2"/>
        </w:numPr>
        <w:rPr>
          <w:rFonts w:eastAsiaTheme="minorEastAsia"/>
        </w:rPr>
      </w:pPr>
      <w:r>
        <w:rPr>
          <w:rFonts w:eastAsiaTheme="minorEastAsia"/>
        </w:rPr>
        <w:t>Noise does not seem to differ in a meaningful way across conditions in either study.</w:t>
      </w:r>
    </w:p>
    <w:p w14:paraId="302F6D9D" w14:textId="77777777" w:rsidR="00091699" w:rsidRDefault="00091699" w:rsidP="00091699">
      <w:pPr>
        <w:pStyle w:val="ListParagraph"/>
        <w:numPr>
          <w:ilvl w:val="0"/>
          <w:numId w:val="2"/>
        </w:numPr>
        <w:rPr>
          <w:rFonts w:eastAsiaTheme="minorEastAsia"/>
        </w:rPr>
      </w:pPr>
      <w:r>
        <w:rPr>
          <w:rFonts w:eastAsiaTheme="minorEastAsia"/>
        </w:rPr>
        <w:t xml:space="preserve">The attentional bias parameter does not seem to differ much across conditions in Study 2, which is consistent with the nearly identical attentional choice biases we observed in Fig. 5. In Study 1, the attentional bias parameter does shrink slightly, which is inconsistent with Fig. 5. </w:t>
      </w:r>
    </w:p>
    <w:p w14:paraId="643F55AE" w14:textId="719DB14F" w:rsidR="00091699" w:rsidRDefault="00091699" w:rsidP="00091699">
      <w:pPr>
        <w:pStyle w:val="ListParagraph"/>
        <w:numPr>
          <w:ilvl w:val="0"/>
          <w:numId w:val="2"/>
        </w:numPr>
        <w:rPr>
          <w:rFonts w:eastAsiaTheme="minorEastAsia"/>
        </w:rPr>
      </w:pPr>
      <w:r>
        <w:rPr>
          <w:rFonts w:eastAsiaTheme="minorEastAsia"/>
        </w:rPr>
        <w:t>Overall, attentional bias parameters are much closer to 1 than in previous studies. This is due to the magnitude of the value signals, which are now with respect to a reference point. These value signals are significantly larger in magnitude than those seen in previous studies. Therefore, even slight deviations from 1 in the attentional bias parameter can impose much larger changes in the accumulator compared to other studies.</w:t>
      </w:r>
      <w:r w:rsidR="00FE576A">
        <w:rPr>
          <w:rFonts w:eastAsiaTheme="minorEastAsia"/>
        </w:rPr>
        <w:t xml:space="preserve"> This can be seen by the negative correlation between the reference point and attentional bias parameter in Fig. </w:t>
      </w:r>
      <w:r w:rsidR="00751F2E">
        <w:rPr>
          <w:rFonts w:eastAsiaTheme="minorEastAsia"/>
        </w:rPr>
        <w:t>S</w:t>
      </w:r>
      <w:r w:rsidR="002A6776">
        <w:rPr>
          <w:rFonts w:eastAsiaTheme="minorEastAsia"/>
        </w:rPr>
        <w:t>1</w:t>
      </w:r>
      <w:r w:rsidR="002E45EC">
        <w:rPr>
          <w:rFonts w:eastAsiaTheme="minorEastAsia"/>
        </w:rPr>
        <w:t>2</w:t>
      </w:r>
      <w:r w:rsidR="00FE576A">
        <w:rPr>
          <w:rFonts w:eastAsiaTheme="minorEastAsia"/>
        </w:rPr>
        <w:t xml:space="preserve"> (except in the Study 2 loss condition).</w:t>
      </w:r>
    </w:p>
    <w:p w14:paraId="352752B5" w14:textId="58A78C38" w:rsidR="0086515D" w:rsidRDefault="000431CC" w:rsidP="0086515D">
      <w:pPr>
        <w:pStyle w:val="ListParagraph"/>
        <w:numPr>
          <w:ilvl w:val="0"/>
          <w:numId w:val="2"/>
        </w:numPr>
        <w:rPr>
          <w:rFonts w:eastAsiaTheme="minorEastAsia"/>
        </w:rPr>
      </w:pPr>
      <w:r>
        <w:rPr>
          <w:rFonts w:eastAsiaTheme="minorEastAsia"/>
        </w:rPr>
        <w:t xml:space="preserve">Due to computational constraints, we test free reference points in the range </w:t>
      </w:r>
      <m:oMath>
        <m:d>
          <m:dPr>
            <m:begChr m:val="["/>
            <m:endChr m:val="]"/>
            <m:ctrlPr>
              <w:rPr>
                <w:rFonts w:ascii="Cambria Math" w:eastAsiaTheme="minorEastAsia" w:hAnsi="Cambria Math"/>
                <w:i/>
              </w:rPr>
            </m:ctrlPr>
          </m:dPr>
          <m:e>
            <m:r>
              <w:rPr>
                <w:rFonts w:ascii="Cambria Math" w:eastAsiaTheme="minorEastAsia" w:hAnsi="Cambria Math"/>
              </w:rPr>
              <m:t>-20, 12</m:t>
            </m:r>
          </m:e>
        </m:d>
      </m:oMath>
      <w:r>
        <w:rPr>
          <w:rFonts w:eastAsiaTheme="minorEastAsia"/>
        </w:rPr>
        <w:t xml:space="preserve"> in step sizes of 4. Free reference points in the gain condition of Study 1 most often fall at around 4. This is close to the minimum expected value in this context. In the Study 1 loss condition, the free reference point always falls below the minimum possible outcome of -5.5. In both conditions for Study 2, the free reference point is </w:t>
      </w:r>
      <w:r w:rsidR="00625B0B">
        <w:rPr>
          <w:rFonts w:eastAsiaTheme="minorEastAsia"/>
        </w:rPr>
        <w:t>typically</w:t>
      </w:r>
      <w:r>
        <w:rPr>
          <w:rFonts w:eastAsiaTheme="minorEastAsia"/>
        </w:rPr>
        <w:t xml:space="preserve"> estimated near the minimum possible outcome in that context.</w:t>
      </w:r>
    </w:p>
    <w:p w14:paraId="64E50641" w14:textId="2A702FD2" w:rsidR="007B6ABA" w:rsidRDefault="00625B0B" w:rsidP="00926A3C">
      <w:pPr>
        <w:pStyle w:val="ListParagraph"/>
        <w:numPr>
          <w:ilvl w:val="0"/>
          <w:numId w:val="2"/>
        </w:numPr>
        <w:rPr>
          <w:rFonts w:eastAsiaTheme="minorEastAsia"/>
          <w:b/>
          <w:bCs/>
        </w:rPr>
      </w:pPr>
      <w:r w:rsidRPr="00926A3C">
        <w:rPr>
          <w:rFonts w:eastAsiaTheme="minorEastAsia"/>
          <w:b/>
          <w:bCs/>
        </w:rPr>
        <w:lastRenderedPageBreak/>
        <w:t>These results suggest that many participants may be using the minimum possible outcome in a context as the reference point for evaluating lottery outcomes. This implies that participants are accumulating evidence over positive reference-dependent value signals, even when dealing with aversive choices.</w:t>
      </w:r>
    </w:p>
    <w:p w14:paraId="39313A46" w14:textId="4F6B29A3" w:rsidR="00C04E03" w:rsidRPr="00D00312" w:rsidRDefault="00C04E03" w:rsidP="00926A3C">
      <w:pPr>
        <w:pStyle w:val="ListParagraph"/>
        <w:numPr>
          <w:ilvl w:val="0"/>
          <w:numId w:val="2"/>
        </w:numPr>
        <w:rPr>
          <w:rFonts w:eastAsiaTheme="minorEastAsia"/>
          <w:b/>
          <w:bCs/>
        </w:rPr>
      </w:pPr>
      <w:r>
        <w:rPr>
          <w:rFonts w:eastAsiaTheme="minorEastAsia"/>
        </w:rPr>
        <w:t xml:space="preserve">Fig. </w:t>
      </w:r>
      <w:r w:rsidR="00751F2E">
        <w:rPr>
          <w:rFonts w:eastAsiaTheme="minorEastAsia"/>
        </w:rPr>
        <w:t>S</w:t>
      </w:r>
      <w:r w:rsidR="00C0261B">
        <w:rPr>
          <w:rFonts w:eastAsiaTheme="minorEastAsia"/>
        </w:rPr>
        <w:t>1</w:t>
      </w:r>
      <w:r w:rsidR="002E45EC">
        <w:rPr>
          <w:rFonts w:eastAsiaTheme="minorEastAsia"/>
        </w:rPr>
        <w:t>3</w:t>
      </w:r>
      <w:r w:rsidR="00CC3E8C">
        <w:rPr>
          <w:rFonts w:eastAsiaTheme="minorEastAsia"/>
        </w:rPr>
        <w:t xml:space="preserve"> shows the result of parameter recovery exercises with the </w:t>
      </w:r>
      <w:proofErr w:type="spellStart"/>
      <w:r w:rsidR="00CC3E8C">
        <w:rPr>
          <w:rFonts w:eastAsiaTheme="minorEastAsia"/>
        </w:rPr>
        <w:t>RaDDM</w:t>
      </w:r>
      <w:proofErr w:type="spellEnd"/>
      <w:r w:rsidR="00CC3E8C">
        <w:rPr>
          <w:rFonts w:eastAsiaTheme="minorEastAsia"/>
        </w:rPr>
        <w:t xml:space="preserve">. Drift rate, attentional bias, and reference point are typically recovered well. Sometimes when data generating noise is too small, the model </w:t>
      </w:r>
      <w:r w:rsidR="00C27C09">
        <w:rPr>
          <w:rFonts w:eastAsiaTheme="minorEastAsia"/>
        </w:rPr>
        <w:t>dramatically over</w:t>
      </w:r>
      <w:r w:rsidR="00CC3E8C">
        <w:rPr>
          <w:rFonts w:eastAsiaTheme="minorEastAsia"/>
        </w:rPr>
        <w:t xml:space="preserve">estimates </w:t>
      </w:r>
      <w:r w:rsidR="00C27C09">
        <w:rPr>
          <w:rFonts w:eastAsiaTheme="minorEastAsia"/>
        </w:rPr>
        <w:t xml:space="preserve">the </w:t>
      </w:r>
      <w:r w:rsidR="00CC3E8C">
        <w:rPr>
          <w:rFonts w:eastAsiaTheme="minorEastAsia"/>
        </w:rPr>
        <w:t>noise parameter.</w:t>
      </w:r>
    </w:p>
    <w:p w14:paraId="4D746A18" w14:textId="101E802A" w:rsidR="00D00312" w:rsidRPr="00671E4B" w:rsidRDefault="00D00312" w:rsidP="00926A3C">
      <w:pPr>
        <w:pStyle w:val="ListParagraph"/>
        <w:numPr>
          <w:ilvl w:val="0"/>
          <w:numId w:val="2"/>
        </w:numPr>
        <w:rPr>
          <w:rFonts w:eastAsiaTheme="minorEastAsia"/>
          <w:b/>
          <w:bCs/>
        </w:rPr>
      </w:pPr>
      <w:r>
        <w:rPr>
          <w:rFonts w:eastAsiaTheme="minorEastAsia"/>
        </w:rPr>
        <w:t xml:space="preserve">Fig. </w:t>
      </w:r>
      <w:r w:rsidR="00751F2E">
        <w:rPr>
          <w:rFonts w:eastAsiaTheme="minorEastAsia"/>
        </w:rPr>
        <w:t>S</w:t>
      </w:r>
      <w:r w:rsidR="005F108F">
        <w:rPr>
          <w:rFonts w:eastAsiaTheme="minorEastAsia"/>
        </w:rPr>
        <w:t>1</w:t>
      </w:r>
      <w:r w:rsidR="002E45EC">
        <w:rPr>
          <w:rFonts w:eastAsiaTheme="minorEastAsia"/>
        </w:rPr>
        <w:t>4</w:t>
      </w:r>
      <w:r>
        <w:rPr>
          <w:rFonts w:eastAsiaTheme="minorEastAsia"/>
        </w:rPr>
        <w:t xml:space="preserve"> shows the out-of-sample predictions of the </w:t>
      </w:r>
      <w:proofErr w:type="spellStart"/>
      <w:r>
        <w:rPr>
          <w:rFonts w:eastAsiaTheme="minorEastAsia"/>
        </w:rPr>
        <w:t>RaDDM</w:t>
      </w:r>
      <w:proofErr w:type="spellEnd"/>
      <w:r>
        <w:rPr>
          <w:rFonts w:eastAsiaTheme="minorEastAsia"/>
        </w:rPr>
        <w:t xml:space="preserve">. The model is trained on all trials that are not divisible by ten, then those estimated parameters are used to generate predictions about behavior in the trials that are divisible by ten. The model </w:t>
      </w:r>
      <w:proofErr w:type="gramStart"/>
      <w:r>
        <w:rPr>
          <w:rFonts w:eastAsiaTheme="minorEastAsia"/>
        </w:rPr>
        <w:t>is able to</w:t>
      </w:r>
      <w:proofErr w:type="gramEnd"/>
      <w:r>
        <w:rPr>
          <w:rFonts w:eastAsiaTheme="minorEastAsia"/>
        </w:rPr>
        <w:t xml:space="preserve"> capture the average quality of choices, response times, net fixation bias, and last fixation bias, though it struggles to accurately predict response times in Study 2 when value differences are small.</w:t>
      </w:r>
    </w:p>
    <w:p w14:paraId="6DF6BBA1" w14:textId="5E024EE3" w:rsidR="00671E4B" w:rsidRPr="00926A3C" w:rsidRDefault="00671E4B" w:rsidP="00926A3C">
      <w:pPr>
        <w:pStyle w:val="ListParagraph"/>
        <w:numPr>
          <w:ilvl w:val="0"/>
          <w:numId w:val="2"/>
        </w:numPr>
        <w:rPr>
          <w:rFonts w:eastAsiaTheme="minorEastAsia"/>
          <w:b/>
          <w:bCs/>
        </w:rPr>
      </w:pPr>
      <w:r>
        <w:rPr>
          <w:rFonts w:eastAsiaTheme="minorEastAsia"/>
          <w:b/>
          <w:bCs/>
        </w:rPr>
        <w:t>Seems to be some issue with estimating attentional biases in the gain condition for both studies.</w:t>
      </w:r>
    </w:p>
    <w:p w14:paraId="0286FBCF" w14:textId="77777777" w:rsidR="002D467E" w:rsidRDefault="002D467E">
      <w:pPr>
        <w:rPr>
          <w:rFonts w:asciiTheme="majorHAnsi" w:eastAsiaTheme="majorEastAsia" w:hAnsiTheme="majorHAnsi" w:cstheme="majorBidi"/>
          <w:color w:val="2F5496" w:themeColor="accent1" w:themeShade="BF"/>
          <w:sz w:val="32"/>
          <w:szCs w:val="32"/>
        </w:rPr>
      </w:pPr>
      <w:r>
        <w:br w:type="page"/>
      </w:r>
    </w:p>
    <w:p w14:paraId="18ED8BE9" w14:textId="03DAF8C9" w:rsidR="007B6ABA" w:rsidRDefault="007B6ABA" w:rsidP="007B6ABA">
      <w:pPr>
        <w:pStyle w:val="Heading1"/>
      </w:pPr>
      <w:r>
        <w:lastRenderedPageBreak/>
        <w:t>Supplementary</w:t>
      </w:r>
      <w:r w:rsidR="00A94ED5">
        <w:t xml:space="preserve"> Figures</w:t>
      </w:r>
    </w:p>
    <w:p w14:paraId="797FB249" w14:textId="77777777" w:rsidR="007B6ABA" w:rsidRDefault="007B6ABA" w:rsidP="007B6ABA"/>
    <w:p w14:paraId="7966E58A" w14:textId="13846990" w:rsidR="007B6ABA" w:rsidRDefault="00AD1DAB" w:rsidP="00BC2EE4">
      <w:pPr>
        <w:jc w:val="center"/>
      </w:pPr>
      <w:r>
        <w:rPr>
          <w:noProof/>
        </w:rPr>
        <w:drawing>
          <wp:inline distT="0" distB="0" distL="0" distR="0" wp14:anchorId="59D27ED8" wp14:editId="4A8F258A">
            <wp:extent cx="5943600" cy="4758690"/>
            <wp:effectExtent l="0" t="0" r="0" b="3810"/>
            <wp:docPr id="185240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0408" name="Picture 185240408"/>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inline>
        </w:drawing>
      </w:r>
    </w:p>
    <w:p w14:paraId="0488E2BF" w14:textId="0776A54B" w:rsidR="00FA5978" w:rsidRDefault="00FA5978" w:rsidP="007B6ABA">
      <w:r>
        <w:t xml:space="preserve">Fig. </w:t>
      </w:r>
      <w:r w:rsidR="0022314B">
        <w:t>S</w:t>
      </w:r>
      <w:r>
        <w:t xml:space="preserve">1. </w:t>
      </w:r>
      <w:r w:rsidRPr="00FA5978">
        <w:t>Basic Psychometrics with Attentional Manipulations. The top row depicts the probability of choosing the left lottery as a function of the normalized expected value difference between the left and right lottery. Value differences are normalized by the maximum possible value difference. The bottom row depicts response times as a function of the normalized choice difficulty. Choice difficulty is measured by the difference between the best and worst expected value and is normalized by the maximum possible choice difficulty. Columns denote the location of the fixation cross</w:t>
      </w:r>
      <w:r>
        <w:t xml:space="preserve"> which manipulates the location of first fixation</w:t>
      </w:r>
      <w:r w:rsidRPr="00FA5978">
        <w:t>. Error bars denote standard error of the mean across participants.</w:t>
      </w:r>
      <w:r w:rsidR="00AD1DAB">
        <w:t xml:space="preserve"> Data from the joint dataset.</w:t>
      </w:r>
    </w:p>
    <w:p w14:paraId="3D69CB7A" w14:textId="77777777" w:rsidR="00BC2EE4" w:rsidRDefault="00BC2EE4" w:rsidP="007B6ABA"/>
    <w:p w14:paraId="774B2247" w14:textId="0C4CB193" w:rsidR="00E7109B" w:rsidRDefault="002B69BF" w:rsidP="00E7109B">
      <w:pPr>
        <w:jc w:val="center"/>
      </w:pPr>
      <w:r>
        <w:rPr>
          <w:noProof/>
        </w:rPr>
        <w:lastRenderedPageBreak/>
        <w:drawing>
          <wp:inline distT="0" distB="0" distL="0" distR="0" wp14:anchorId="7544FF09" wp14:editId="13F43325">
            <wp:extent cx="5943600" cy="5448300"/>
            <wp:effectExtent l="0" t="0" r="0" b="0"/>
            <wp:docPr id="2985527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2758" name="Picture 298552758"/>
                    <pic:cNvPicPr/>
                  </pic:nvPicPr>
                  <pic:blipFill>
                    <a:blip r:embed="rId15">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186EEA84" w14:textId="1061DD26" w:rsidR="00E7109B" w:rsidRDefault="00E7109B" w:rsidP="00E7109B">
      <w:pPr>
        <w:jc w:val="both"/>
      </w:pPr>
      <w:r>
        <w:t xml:space="preserve">Fig. </w:t>
      </w:r>
      <w:r w:rsidR="0022314B">
        <w:t>S</w:t>
      </w:r>
      <w:r>
        <w:t xml:space="preserve">2. Additional Fixation Properties. </w:t>
      </w:r>
      <w:r w:rsidRPr="003A40CD">
        <w:t xml:space="preserve">The first row depicts the probability of first fixating left as a function of choice difficulty. The second row depicts histograms of the </w:t>
      </w:r>
      <w:r w:rsidR="00E259CE">
        <w:t xml:space="preserve">pooled </w:t>
      </w:r>
      <w:r w:rsidRPr="003A40CD">
        <w:t>number of fixations in a trial, separately by condition and the location of first fixation</w:t>
      </w:r>
      <w:r w:rsidR="0054228C">
        <w:t>, for Study 2 only</w:t>
      </w:r>
      <w:r w:rsidRPr="003A40CD">
        <w:t>. The third row depicts the second fixation duration as a function of the normalized relative value. The fourth row depicts the third fixation duration as a function of the normalized relative value.</w:t>
      </w:r>
    </w:p>
    <w:p w14:paraId="5A38AC44" w14:textId="77777777" w:rsidR="00BC2EE4" w:rsidRDefault="00BC2EE4" w:rsidP="007B6ABA"/>
    <w:p w14:paraId="625FD2AC" w14:textId="0461E66A" w:rsidR="00BC2EE4" w:rsidRDefault="00780EB7" w:rsidP="002D72EC">
      <w:pPr>
        <w:jc w:val="center"/>
      </w:pPr>
      <w:r>
        <w:rPr>
          <w:noProof/>
        </w:rPr>
        <w:lastRenderedPageBreak/>
        <w:drawing>
          <wp:inline distT="0" distB="0" distL="0" distR="0" wp14:anchorId="3AD127A8" wp14:editId="2009BD9A">
            <wp:extent cx="4062301" cy="6498077"/>
            <wp:effectExtent l="0" t="0" r="1905" b="4445"/>
            <wp:docPr id="223351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51425" name="Picture 223351425"/>
                    <pic:cNvPicPr/>
                  </pic:nvPicPr>
                  <pic:blipFill>
                    <a:blip r:embed="rId16">
                      <a:extLst>
                        <a:ext uri="{28A0092B-C50C-407E-A947-70E740481C1C}">
                          <a14:useLocalDpi xmlns:a14="http://schemas.microsoft.com/office/drawing/2010/main" val="0"/>
                        </a:ext>
                      </a:extLst>
                    </a:blip>
                    <a:stretch>
                      <a:fillRect/>
                    </a:stretch>
                  </pic:blipFill>
                  <pic:spPr>
                    <a:xfrm>
                      <a:off x="0" y="0"/>
                      <a:ext cx="4082826" cy="6530909"/>
                    </a:xfrm>
                    <a:prstGeom prst="rect">
                      <a:avLst/>
                    </a:prstGeom>
                  </pic:spPr>
                </pic:pic>
              </a:graphicData>
            </a:graphic>
          </wp:inline>
        </w:drawing>
      </w:r>
    </w:p>
    <w:p w14:paraId="3C80A373" w14:textId="2C310CEA" w:rsidR="00BC2EE4" w:rsidRDefault="00BC2EE4" w:rsidP="007B6ABA">
      <w:r>
        <w:t xml:space="preserve">Fig. </w:t>
      </w:r>
      <w:r w:rsidR="0022314B">
        <w:t>S</w:t>
      </w:r>
      <w:r w:rsidR="00E7109B">
        <w:t>3</w:t>
      </w:r>
      <w:r>
        <w:t xml:space="preserve">. </w:t>
      </w:r>
      <w:r w:rsidRPr="00BC2EE4">
        <w:t>Fixation Process with Attentional Manipulations. The first row depicts the probability of first fixating on the best lottery as a function of normalized choice difficulty. The second row depicts the first fixation durations as a function of normalized choice difficulty. The third row depicts average middle fixation durations as a function of normalized choice difficulty. The fourth row depicts the net fixation duration to the left lottery as a function of the normalized expected value difference. Columns denote the location of the fixation cross</w:t>
      </w:r>
      <w:r>
        <w:t xml:space="preserve"> which manipulates the location of first fixation</w:t>
      </w:r>
      <w:r w:rsidRPr="00BC2EE4">
        <w:t>. Error bars denote standard error of the mean across participants.</w:t>
      </w:r>
      <w:r w:rsidR="00780EB7">
        <w:t xml:space="preserve"> Data from the joint dataset.</w:t>
      </w:r>
    </w:p>
    <w:p w14:paraId="2420E524" w14:textId="77777777" w:rsidR="005E2E23" w:rsidRDefault="005E2E23" w:rsidP="007B6ABA"/>
    <w:p w14:paraId="232972C0" w14:textId="77777777" w:rsidR="005E2E23" w:rsidRDefault="005E2E23" w:rsidP="007B6ABA"/>
    <w:p w14:paraId="66467D6B" w14:textId="13EF8EFA" w:rsidR="005E2E23" w:rsidRDefault="00780EB7" w:rsidP="005E2E23">
      <w:pPr>
        <w:jc w:val="center"/>
      </w:pPr>
      <w:r>
        <w:rPr>
          <w:noProof/>
        </w:rPr>
        <w:drawing>
          <wp:inline distT="0" distB="0" distL="0" distR="0" wp14:anchorId="684CBE59" wp14:editId="4ECEC1C0">
            <wp:extent cx="5009745" cy="6008483"/>
            <wp:effectExtent l="0" t="0" r="0" b="0"/>
            <wp:docPr id="1598761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61879" name="Picture 1598761879"/>
                    <pic:cNvPicPr/>
                  </pic:nvPicPr>
                  <pic:blipFill>
                    <a:blip r:embed="rId17">
                      <a:extLst>
                        <a:ext uri="{28A0092B-C50C-407E-A947-70E740481C1C}">
                          <a14:useLocalDpi xmlns:a14="http://schemas.microsoft.com/office/drawing/2010/main" val="0"/>
                        </a:ext>
                      </a:extLst>
                    </a:blip>
                    <a:stretch>
                      <a:fillRect/>
                    </a:stretch>
                  </pic:blipFill>
                  <pic:spPr>
                    <a:xfrm>
                      <a:off x="0" y="0"/>
                      <a:ext cx="5047951" cy="6054305"/>
                    </a:xfrm>
                    <a:prstGeom prst="rect">
                      <a:avLst/>
                    </a:prstGeom>
                  </pic:spPr>
                </pic:pic>
              </a:graphicData>
            </a:graphic>
          </wp:inline>
        </w:drawing>
      </w:r>
    </w:p>
    <w:p w14:paraId="3D66CF07" w14:textId="7425CAB5" w:rsidR="00AF02AB" w:rsidRDefault="005E2E23" w:rsidP="005E2E23">
      <w:pPr>
        <w:jc w:val="both"/>
      </w:pPr>
      <w:r>
        <w:t xml:space="preserve">Fig. </w:t>
      </w:r>
      <w:r w:rsidR="0022314B">
        <w:t>S</w:t>
      </w:r>
      <w:r w:rsidR="00E7109B">
        <w:t>4.</w:t>
      </w:r>
      <w:r>
        <w:t xml:space="preserve"> </w:t>
      </w:r>
      <w:r w:rsidRPr="005E2E23">
        <w:t>Attentional Choice Biases with Attentional Manipulations. The top row depicts the corrected probability of choosing the left lottery as a function of the net fixation time to the left lottery. Corrected probabilities are calculated by taking the choice observation (1=left, 0=right) and subtracting the proportion of times left was chosen at each value difference. The middle row depicts the probability of choosing the last fixated option as a function of the normalized relative expected value of the last fixated lottery. The bottom row depicts the probability of choosing the first fixated option as a function of the normalized relative expected value of the first fixated lottery. Columns denote the location of the fixation cross</w:t>
      </w:r>
      <w:r>
        <w:t xml:space="preserve"> which manipulates the location of first fixation</w:t>
      </w:r>
      <w:r w:rsidRPr="005E2E23">
        <w:t>. Error bars denote standard error of the mean across participants.</w:t>
      </w:r>
      <w:r w:rsidR="00780EB7">
        <w:t xml:space="preserve"> Data from joint dataset</w:t>
      </w:r>
      <w:r w:rsidR="00AF02AB">
        <w:t>.</w:t>
      </w:r>
    </w:p>
    <w:p w14:paraId="0C30DDC7" w14:textId="326B56FD" w:rsidR="003A40CD" w:rsidRDefault="00AF02AB" w:rsidP="00AF02AB">
      <w:r>
        <w:br w:type="page"/>
      </w:r>
      <w:r w:rsidR="003A40CD">
        <w:rPr>
          <w:noProof/>
        </w:rPr>
        <w:lastRenderedPageBreak/>
        <w:drawing>
          <wp:inline distT="0" distB="0" distL="0" distR="0" wp14:anchorId="44E499DB" wp14:editId="1FDC8FAE">
            <wp:extent cx="5943600" cy="5086985"/>
            <wp:effectExtent l="0" t="0" r="0" b="5715"/>
            <wp:docPr id="9429795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79546" name="Picture 942979546"/>
                    <pic:cNvPicPr/>
                  </pic:nvPicPr>
                  <pic:blipFill>
                    <a:blip r:embed="rId18">
                      <a:extLst>
                        <a:ext uri="{28A0092B-C50C-407E-A947-70E740481C1C}">
                          <a14:useLocalDpi xmlns:a14="http://schemas.microsoft.com/office/drawing/2010/main" val="0"/>
                        </a:ext>
                      </a:extLst>
                    </a:blip>
                    <a:stretch>
                      <a:fillRect/>
                    </a:stretch>
                  </pic:blipFill>
                  <pic:spPr>
                    <a:xfrm>
                      <a:off x="0" y="0"/>
                      <a:ext cx="5943600" cy="5086985"/>
                    </a:xfrm>
                    <a:prstGeom prst="rect">
                      <a:avLst/>
                    </a:prstGeom>
                  </pic:spPr>
                </pic:pic>
              </a:graphicData>
            </a:graphic>
          </wp:inline>
        </w:drawing>
      </w:r>
    </w:p>
    <w:p w14:paraId="44240953" w14:textId="3C011C2E" w:rsidR="003A40CD" w:rsidRDefault="003A40CD" w:rsidP="005E2E23">
      <w:pPr>
        <w:jc w:val="both"/>
      </w:pPr>
      <w:r>
        <w:t xml:space="preserve">Fig. </w:t>
      </w:r>
      <w:r w:rsidR="0022314B">
        <w:t>S</w:t>
      </w:r>
      <w:r>
        <w:t xml:space="preserve">5. </w:t>
      </w:r>
      <w:r w:rsidRPr="003A40CD">
        <w:t xml:space="preserve">Simulations of Attentional Choice Biases. For each model and condition, we generated a simulated dataset of 200 </w:t>
      </w:r>
      <w:proofErr w:type="spellStart"/>
      <w:r w:rsidRPr="003A40CD">
        <w:t>trils</w:t>
      </w:r>
      <w:proofErr w:type="spellEnd"/>
      <w:r w:rsidRPr="003A40CD">
        <w:t xml:space="preserve"> for each of 25 simulated subjects, each with their own random draw of parameter values. Columns depict attentional choice biases as seen in Fig.</w:t>
      </w:r>
      <w:r>
        <w:t xml:space="preserve"> 5:</w:t>
      </w:r>
      <w:r w:rsidRPr="003A40CD">
        <w:t xml:space="preserve"> (Left) Corrected probability of choosing the left option as a function of net fixation to the left option. (Middle) Probability of choosing the last fixated option as a function of normalized net value of the last fixated option. (Right) Probability of choosing the first fixated option as a function of normalized net value of the first fixated option. (First Row) aDDM simulations of attentional choice biases using </w:t>
      </w:r>
      <m:oMath>
        <m:r>
          <w:rPr>
            <w:rFonts w:ascii="Cambria Math" w:hAnsi="Cambria Math"/>
          </w:rPr>
          <m:t>θ∈</m:t>
        </m:r>
        <m:d>
          <m:dPr>
            <m:ctrlPr>
              <w:rPr>
                <w:rFonts w:ascii="Cambria Math" w:hAnsi="Cambria Math"/>
                <w:i/>
              </w:rPr>
            </m:ctrlPr>
          </m:dPr>
          <m:e>
            <m:r>
              <w:rPr>
                <w:rFonts w:ascii="Cambria Math" w:hAnsi="Cambria Math"/>
              </w:rPr>
              <m:t>0,1</m:t>
            </m:r>
          </m:e>
        </m:d>
      </m:oMath>
      <w:r w:rsidRPr="003A40CD">
        <w:t xml:space="preserve"> in both conditions. (Second Row) aDDM simulations using</w:t>
      </w:r>
      <w:r w:rsidR="00D001C6">
        <w:t xml:space="preserve"> </w:t>
      </w:r>
      <m:oMath>
        <m:r>
          <w:rPr>
            <w:rFonts w:ascii="Cambria Math" w:hAnsi="Cambria Math"/>
          </w:rPr>
          <m:t>θ∈</m:t>
        </m:r>
        <m:d>
          <m:dPr>
            <m:ctrlPr>
              <w:rPr>
                <w:rFonts w:ascii="Cambria Math" w:hAnsi="Cambria Math"/>
                <w:i/>
              </w:rPr>
            </m:ctrlPr>
          </m:dPr>
          <m:e>
            <m:r>
              <w:rPr>
                <w:rFonts w:ascii="Cambria Math" w:hAnsi="Cambria Math"/>
              </w:rPr>
              <m:t>0,1</m:t>
            </m:r>
          </m:e>
        </m:d>
      </m:oMath>
      <w:r w:rsidRPr="003A40CD">
        <w:t xml:space="preserve"> in the gain condition and</w:t>
      </w:r>
      <w:r w:rsidR="00D001C6">
        <w:t xml:space="preserve"> </w:t>
      </w:r>
      <m:oMath>
        <m:r>
          <w:rPr>
            <w:rFonts w:ascii="Cambria Math" w:hAnsi="Cambria Math"/>
          </w:rPr>
          <m:t>θ∈</m:t>
        </m:r>
        <m:d>
          <m:dPr>
            <m:ctrlPr>
              <w:rPr>
                <w:rFonts w:ascii="Cambria Math" w:hAnsi="Cambria Math"/>
                <w:i/>
              </w:rPr>
            </m:ctrlPr>
          </m:dPr>
          <m:e>
            <m:r>
              <w:rPr>
                <w:rFonts w:ascii="Cambria Math" w:hAnsi="Cambria Math"/>
              </w:rPr>
              <m:t>1,2</m:t>
            </m:r>
          </m:e>
        </m:d>
      </m:oMath>
      <w:r w:rsidR="00D001C6">
        <w:rPr>
          <w:rFonts w:eastAsiaTheme="minorEastAsia"/>
        </w:rPr>
        <w:t xml:space="preserve"> </w:t>
      </w:r>
      <w:r w:rsidRPr="003A40CD">
        <w:t xml:space="preserve">in the loss condition. (Third Row) </w:t>
      </w:r>
      <w:proofErr w:type="spellStart"/>
      <w:r w:rsidRPr="003A40CD">
        <w:t>AddDDM</w:t>
      </w:r>
      <w:proofErr w:type="spellEnd"/>
      <w:r w:rsidRPr="003A40CD">
        <w:t xml:space="preserve"> simulations using </w:t>
      </w:r>
      <m:oMath>
        <m:r>
          <w:rPr>
            <w:rFonts w:ascii="Cambria Math" w:hAnsi="Cambria Math"/>
          </w:rPr>
          <m:t>η∈</m:t>
        </m:r>
        <m:d>
          <m:dPr>
            <m:begChr m:val="["/>
            <m:endChr m:val="]"/>
            <m:ctrlPr>
              <w:rPr>
                <w:rFonts w:ascii="Cambria Math" w:hAnsi="Cambria Math"/>
                <w:i/>
              </w:rPr>
            </m:ctrlPr>
          </m:dPr>
          <m:e>
            <m:r>
              <w:rPr>
                <w:rFonts w:ascii="Cambria Math" w:hAnsi="Cambria Math"/>
              </w:rPr>
              <m:t>0.0001, 0.02</m:t>
            </m:r>
          </m:e>
        </m:d>
      </m:oMath>
      <w:r w:rsidR="00D001C6">
        <w:rPr>
          <w:rFonts w:eastAsiaTheme="minorEastAsia"/>
        </w:rPr>
        <w:t>.</w:t>
      </w:r>
      <w:r w:rsidRPr="003A40CD">
        <w:t xml:space="preserve"> (Fourth Row) </w:t>
      </w:r>
      <w:proofErr w:type="spellStart"/>
      <w:r w:rsidRPr="003A40CD">
        <w:t>RaDDM</w:t>
      </w:r>
      <w:proofErr w:type="spellEnd"/>
      <w:r w:rsidRPr="003A40CD">
        <w:t xml:space="preserve"> simulations using </w:t>
      </w:r>
      <m:oMath>
        <m:r>
          <w:rPr>
            <w:rFonts w:ascii="Cambria Math" w:hAnsi="Cambria Math"/>
          </w:rPr>
          <m:t>θ∈</m:t>
        </m:r>
        <m:d>
          <m:dPr>
            <m:ctrlPr>
              <w:rPr>
                <w:rFonts w:ascii="Cambria Math" w:hAnsi="Cambria Math"/>
                <w:i/>
              </w:rPr>
            </m:ctrlPr>
          </m:dPr>
          <m:e>
            <m:r>
              <w:rPr>
                <w:rFonts w:ascii="Cambria Math" w:hAnsi="Cambria Math"/>
              </w:rPr>
              <m:t>0,1</m:t>
            </m:r>
          </m:e>
        </m:d>
      </m:oMath>
      <w:r w:rsidR="00D001C6">
        <w:rPr>
          <w:rFonts w:eastAsiaTheme="minorEastAsia"/>
        </w:rPr>
        <w:t>.</w:t>
      </w:r>
      <w:r w:rsidRPr="003A40CD">
        <w:t xml:space="preserve"> Drift rate, noise, and bias parameters, </w:t>
      </w:r>
      <w:proofErr w:type="gramStart"/>
      <w:r w:rsidRPr="003A40CD">
        <w:t>as well as,</w:t>
      </w:r>
      <w:proofErr w:type="gramEnd"/>
      <w:r w:rsidRPr="003A40CD">
        <w:t xml:space="preserve"> fixation properties were drawn from distributions similar to those found by Eum et al. (2023). Error bars denote the standard error of the mean across simulated subjects.</w:t>
      </w:r>
    </w:p>
    <w:p w14:paraId="4D90BD9E" w14:textId="77777777" w:rsidR="00A665E5" w:rsidRDefault="00A665E5" w:rsidP="005E2E23">
      <w:pPr>
        <w:jc w:val="both"/>
      </w:pPr>
    </w:p>
    <w:p w14:paraId="18F8B072" w14:textId="0B621758" w:rsidR="002D467E" w:rsidRDefault="003A32B3" w:rsidP="002D467E">
      <w:pPr>
        <w:jc w:val="both"/>
      </w:pPr>
      <w:r>
        <w:rPr>
          <w:noProof/>
        </w:rPr>
        <w:lastRenderedPageBreak/>
        <w:drawing>
          <wp:inline distT="0" distB="0" distL="0" distR="0" wp14:anchorId="4D263A79" wp14:editId="57A09136">
            <wp:extent cx="5943600" cy="3834765"/>
            <wp:effectExtent l="0" t="0" r="0" b="635"/>
            <wp:docPr id="21169079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07901" name="Picture 2116907901"/>
                    <pic:cNvPicPr/>
                  </pic:nvPicPr>
                  <pic:blipFill>
                    <a:blip r:embed="rId19">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1795D30B" w14:textId="3351C648" w:rsidR="002D467E" w:rsidRDefault="002D467E" w:rsidP="002D467E">
      <w:pPr>
        <w:jc w:val="both"/>
        <w:rPr>
          <w:rFonts w:eastAsiaTheme="minorEastAsia"/>
        </w:rPr>
      </w:pPr>
      <w:r>
        <w:t xml:space="preserve">Fig. </w:t>
      </w:r>
      <w:r w:rsidR="0022314B">
        <w:t>S</w:t>
      </w:r>
      <w:r w:rsidR="00C2003D">
        <w:t>6</w:t>
      </w:r>
      <w:r>
        <w:t xml:space="preserve">. Out-of-Sample Predictions and Estimates of </w:t>
      </w:r>
      <w:r w:rsidR="003A32B3">
        <w:t>Prospect Theory with Status Quo Reference Point Rule</w:t>
      </w:r>
      <w:r>
        <w:t xml:space="preserve">. Prior to fitting the </w:t>
      </w:r>
      <w:proofErr w:type="spellStart"/>
      <w:r>
        <w:t>SQaDDM</w:t>
      </w:r>
      <w:proofErr w:type="spellEnd"/>
      <w:r>
        <w:t xml:space="preserve">, we fit the choice data to </w:t>
      </w:r>
      <w:r w:rsidR="003A32B3">
        <w:t>Prospect</w:t>
      </w:r>
      <w:r>
        <w:t xml:space="preserve"> Theory using the Status Quo reference point rule. (Left Columns) We plot the probability of choosing the left lottery as a function of the normalized expected value difference between left and right lotteries. (Right Columns) Histograms of the parameter estimates. We estimated Prospect Theory with 5 parameters using MLE: loss aversion, diminishing marginal returns, temperature in the gain and in the loss conditions, and </w:t>
      </w:r>
      <w:proofErr w:type="spellStart"/>
      <w:r>
        <w:t>Prelec</w:t>
      </w:r>
      <w:proofErr w:type="spellEnd"/>
      <w:r>
        <w:t xml:space="preserve"> probability reweighting. The red vertical line in the loss aversion plots indicates the minimum value of </w:t>
      </w:r>
      <m:oMath>
        <m:r>
          <w:rPr>
            <w:rFonts w:ascii="Cambria Math" w:hAnsi="Cambria Math"/>
          </w:rPr>
          <m:t>λ</m:t>
        </m:r>
      </m:oMath>
      <w:r>
        <w:rPr>
          <w:rFonts w:eastAsiaTheme="minorEastAsia"/>
        </w:rPr>
        <w:t xml:space="preserve"> for which losses are aversive.</w:t>
      </w:r>
    </w:p>
    <w:p w14:paraId="285328AE" w14:textId="77777777" w:rsidR="00A665E5" w:rsidRDefault="00A665E5" w:rsidP="005E2E23">
      <w:pPr>
        <w:jc w:val="both"/>
      </w:pPr>
    </w:p>
    <w:p w14:paraId="6D0629CC" w14:textId="29F35DD6" w:rsidR="008D5A5E" w:rsidRDefault="00D41D00" w:rsidP="008D5A5E">
      <w:pPr>
        <w:pStyle w:val="ListParagraph"/>
        <w:numPr>
          <w:ilvl w:val="0"/>
          <w:numId w:val="2"/>
        </w:numPr>
        <w:jc w:val="both"/>
      </w:pPr>
      <w:r>
        <w:t>Optimization algorithm has 4 starting points and takes the highest likelihood from these. Starting points are based on estimates from Sokol-</w:t>
      </w:r>
      <w:proofErr w:type="spellStart"/>
      <w:r>
        <w:t>Hessner</w:t>
      </w:r>
      <w:proofErr w:type="spellEnd"/>
      <w:r>
        <w:t xml:space="preserve"> et al. (2009), Stillman et al. (2020), Toubia et al.  (2013), and </w:t>
      </w:r>
      <w:proofErr w:type="spellStart"/>
      <w:r>
        <w:t>Baillon</w:t>
      </w:r>
      <w:proofErr w:type="spellEnd"/>
      <w:r>
        <w:t xml:space="preserve"> et al. (2020).</w:t>
      </w:r>
    </w:p>
    <w:p w14:paraId="311DB342" w14:textId="77777777" w:rsidR="002D467E" w:rsidRDefault="002D467E" w:rsidP="002D467E">
      <w:r>
        <w:br w:type="page"/>
      </w:r>
      <w:r w:rsidR="003A32B3">
        <w:rPr>
          <w:noProof/>
        </w:rPr>
        <w:lastRenderedPageBreak/>
        <w:drawing>
          <wp:inline distT="0" distB="0" distL="0" distR="0" wp14:anchorId="2D52523B" wp14:editId="062BDB41">
            <wp:extent cx="5943600" cy="3834765"/>
            <wp:effectExtent l="0" t="0" r="0" b="635"/>
            <wp:docPr id="353375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5086" name="Picture 353375086"/>
                    <pic:cNvPicPr/>
                  </pic:nvPicPr>
                  <pic:blipFill>
                    <a:blip r:embed="rId20">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3D6E4FE1" w14:textId="58805F44" w:rsidR="003A32B3" w:rsidRDefault="003A32B3" w:rsidP="003A32B3">
      <w:pPr>
        <w:jc w:val="both"/>
        <w:rPr>
          <w:rFonts w:eastAsiaTheme="minorEastAsia"/>
        </w:rPr>
      </w:pPr>
      <w:r>
        <w:t xml:space="preserve">Fig. </w:t>
      </w:r>
      <w:r w:rsidR="0022314B">
        <w:t>S</w:t>
      </w:r>
      <w:r>
        <w:t xml:space="preserve">7. Out-of-Sample Predictions and Estimates of Prospect Theory with </w:t>
      </w:r>
      <w:proofErr w:type="spellStart"/>
      <w:r>
        <w:t>MaxMin</w:t>
      </w:r>
      <w:proofErr w:type="spellEnd"/>
      <w:r>
        <w:t xml:space="preserve"> Reference Point Rule. Prior to fitting the </w:t>
      </w:r>
      <w:proofErr w:type="spellStart"/>
      <w:r>
        <w:t>MMaDDM</w:t>
      </w:r>
      <w:proofErr w:type="spellEnd"/>
      <w:r>
        <w:t xml:space="preserve">, we fit the choice data to Prospect Theory using the </w:t>
      </w:r>
      <w:proofErr w:type="spellStart"/>
      <w:r>
        <w:t>MaxMin</w:t>
      </w:r>
      <w:proofErr w:type="spellEnd"/>
      <w:r>
        <w:t xml:space="preserve"> reference point rule. (Left Columns) We plot the probability of choosing the left lottery as a function of the normalized expected value difference between left and right lotteries. (Right Columns) Histograms of the parameter estimates. We estimated Prospect Theory with 5 parameters using MLE: loss aversion, diminishing marginal returns, temperature in the gain and in the loss conditions, and </w:t>
      </w:r>
      <w:proofErr w:type="spellStart"/>
      <w:r>
        <w:t>Prelec</w:t>
      </w:r>
      <w:proofErr w:type="spellEnd"/>
      <w:r>
        <w:t xml:space="preserve"> probability reweighting. The red vertical line in the loss aversion plots indicates the minimum value of </w:t>
      </w:r>
      <m:oMath>
        <m:r>
          <w:rPr>
            <w:rFonts w:ascii="Cambria Math" w:hAnsi="Cambria Math"/>
          </w:rPr>
          <m:t>λ</m:t>
        </m:r>
      </m:oMath>
      <w:r>
        <w:rPr>
          <w:rFonts w:eastAsiaTheme="minorEastAsia"/>
        </w:rPr>
        <w:t xml:space="preserve"> for which losses are aversive.</w:t>
      </w:r>
    </w:p>
    <w:p w14:paraId="4D1BC556" w14:textId="77777777" w:rsidR="003A32B3" w:rsidRDefault="003A32B3" w:rsidP="002D467E"/>
    <w:p w14:paraId="5705141E" w14:textId="78E1A979" w:rsidR="0022314B" w:rsidRDefault="0022314B">
      <w:r>
        <w:br w:type="page"/>
      </w:r>
    </w:p>
    <w:p w14:paraId="042F7A5A" w14:textId="0EB34A13" w:rsidR="0022314B" w:rsidRDefault="0022314B" w:rsidP="002D467E">
      <w:r>
        <w:rPr>
          <w:noProof/>
        </w:rPr>
        <w:lastRenderedPageBreak/>
        <w:drawing>
          <wp:inline distT="0" distB="0" distL="0" distR="0" wp14:anchorId="0F2D80F7" wp14:editId="4C451666">
            <wp:extent cx="5943600" cy="3820795"/>
            <wp:effectExtent l="0" t="0" r="0" b="1905"/>
            <wp:docPr id="2578497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49749" name="Picture 257849749"/>
                    <pic:cNvPicPr/>
                  </pic:nvPicPr>
                  <pic:blipFill>
                    <a:blip r:embed="rId21">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7170C605" w14:textId="31026228" w:rsidR="0022314B" w:rsidRDefault="0022314B" w:rsidP="002D467E">
      <w:r>
        <w:t xml:space="preserve">Fig. S8. Posterior </w:t>
      </w:r>
      <w:r w:rsidR="002C319B">
        <w:t>M</w:t>
      </w:r>
      <w:r>
        <w:t xml:space="preserve">odel </w:t>
      </w:r>
      <w:r w:rsidR="002C319B">
        <w:t>P</w:t>
      </w:r>
      <w:r>
        <w:t xml:space="preserve">robability as a </w:t>
      </w:r>
      <w:r w:rsidR="002C319B">
        <w:t>F</w:t>
      </w:r>
      <w:r>
        <w:t xml:space="preserve">unction of </w:t>
      </w:r>
      <w:r w:rsidR="002C319B">
        <w:t>M</w:t>
      </w:r>
      <w:r>
        <w:t xml:space="preserve">odel, </w:t>
      </w:r>
      <w:r w:rsidR="002C319B">
        <w:t>S</w:t>
      </w:r>
      <w:r>
        <w:t xml:space="preserve">eparately by </w:t>
      </w:r>
      <w:r w:rsidR="002C319B">
        <w:t>D</w:t>
      </w:r>
      <w:r>
        <w:t xml:space="preserve">ataset, </w:t>
      </w:r>
      <w:r w:rsidR="002C319B">
        <w:t>S</w:t>
      </w:r>
      <w:r>
        <w:t xml:space="preserve">tudy, and </w:t>
      </w:r>
      <w:r w:rsidR="002C319B">
        <w:t>C</w:t>
      </w:r>
      <w:r>
        <w:t xml:space="preserve">ondition. </w:t>
      </w:r>
      <w:r w:rsidRPr="003158EE">
        <w:t>Each plot depicts the posterior model probabilities within a study and condition</w:t>
      </w:r>
      <w:r>
        <w:t>, separately for data from the exploratory and confirmatory datasets</w:t>
      </w:r>
      <w:r w:rsidRPr="003158EE">
        <w:t xml:space="preserve">. Each dot represents the posterior model probability for a model (x-axis) for a single participant. For each participant, the sum of their </w:t>
      </w:r>
      <w:r>
        <w:t>four</w:t>
      </w:r>
      <w:r w:rsidRPr="003158EE">
        <w:t xml:space="preserve"> dots spread across the three columns in each plot adds to 1. Boxplots present the 25th, 50th, and 75th percentiles. </w:t>
      </w:r>
      <w:proofErr w:type="spellStart"/>
      <w:r w:rsidRPr="003158EE">
        <w:t>AddDDM</w:t>
      </w:r>
      <w:proofErr w:type="spellEnd"/>
      <w:r>
        <w:t>:</w:t>
      </w:r>
      <w:r w:rsidRPr="003158EE">
        <w:t xml:space="preserve"> the additive model of attention. </w:t>
      </w:r>
      <w:proofErr w:type="spellStart"/>
      <w:r w:rsidRPr="003158EE">
        <w:t>RaDDM</w:t>
      </w:r>
      <w:proofErr w:type="spellEnd"/>
      <w:r>
        <w:t xml:space="preserve">: </w:t>
      </w:r>
      <w:r w:rsidRPr="003158EE">
        <w:t>the reference-dependent aDDM with standard</w:t>
      </w:r>
      <w:r>
        <w:t xml:space="preserve"> </w:t>
      </w:r>
      <m:oMath>
        <m:d>
          <m:dPr>
            <m:begChr m:val="["/>
            <m:endChr m:val="]"/>
            <m:ctrlPr>
              <w:rPr>
                <w:rFonts w:ascii="Cambria Math" w:hAnsi="Cambria Math"/>
                <w:i/>
              </w:rPr>
            </m:ctrlPr>
          </m:dPr>
          <m:e>
            <m:r>
              <w:rPr>
                <w:rFonts w:ascii="Cambria Math" w:hAnsi="Cambria Math"/>
              </w:rPr>
              <m:t>0,1</m:t>
            </m:r>
          </m:e>
        </m:d>
      </m:oMath>
      <w:r w:rsidRPr="003158EE">
        <w:t xml:space="preserve"> bounds on the attentional parameter.</w:t>
      </w:r>
      <w:r>
        <w:t xml:space="preserve"> </w:t>
      </w:r>
      <w:proofErr w:type="spellStart"/>
      <w:r>
        <w:t>MMaDDM</w:t>
      </w:r>
      <w:proofErr w:type="spellEnd"/>
      <w:r>
        <w:t xml:space="preserve">: the standard aDDM with </w:t>
      </w:r>
      <w:proofErr w:type="spellStart"/>
      <w:r>
        <w:t>MaxMin</w:t>
      </w:r>
      <w:proofErr w:type="spellEnd"/>
      <w:r>
        <w:t xml:space="preserve"> Prospect Theory value signals. </w:t>
      </w:r>
      <w:proofErr w:type="spellStart"/>
      <w:r>
        <w:t>SQaDDM</w:t>
      </w:r>
      <w:proofErr w:type="spellEnd"/>
      <w:r>
        <w:t xml:space="preserve">: the standard aDDM with Status Quo Prospect Theory value signals. </w:t>
      </w:r>
    </w:p>
    <w:p w14:paraId="3514D740" w14:textId="1B233735" w:rsidR="00E259CE" w:rsidRDefault="006A2C3D" w:rsidP="00E259CE">
      <w:pPr>
        <w:jc w:val="center"/>
      </w:pPr>
      <w:r>
        <w:rPr>
          <w:noProof/>
        </w:rPr>
        <w:lastRenderedPageBreak/>
        <w:drawing>
          <wp:inline distT="0" distB="0" distL="0" distR="0" wp14:anchorId="3109A606" wp14:editId="124F5D0E">
            <wp:extent cx="5000017" cy="6428443"/>
            <wp:effectExtent l="0" t="0" r="3810" b="0"/>
            <wp:docPr id="9419865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86546" name="Picture 941986546"/>
                    <pic:cNvPicPr/>
                  </pic:nvPicPr>
                  <pic:blipFill>
                    <a:blip r:embed="rId22">
                      <a:extLst>
                        <a:ext uri="{28A0092B-C50C-407E-A947-70E740481C1C}">
                          <a14:useLocalDpi xmlns:a14="http://schemas.microsoft.com/office/drawing/2010/main" val="0"/>
                        </a:ext>
                      </a:extLst>
                    </a:blip>
                    <a:stretch>
                      <a:fillRect/>
                    </a:stretch>
                  </pic:blipFill>
                  <pic:spPr>
                    <a:xfrm>
                      <a:off x="0" y="0"/>
                      <a:ext cx="5042841" cy="6483501"/>
                    </a:xfrm>
                    <a:prstGeom prst="rect">
                      <a:avLst/>
                    </a:prstGeom>
                  </pic:spPr>
                </pic:pic>
              </a:graphicData>
            </a:graphic>
          </wp:inline>
        </w:drawing>
      </w:r>
    </w:p>
    <w:p w14:paraId="5DD6813A" w14:textId="4724AC1E" w:rsidR="00E259CE" w:rsidRDefault="00E259CE" w:rsidP="005E2E23">
      <w:pPr>
        <w:jc w:val="both"/>
      </w:pPr>
      <w:r>
        <w:t xml:space="preserve">Fig. </w:t>
      </w:r>
      <w:r w:rsidR="00C97CFF">
        <w:t>S9</w:t>
      </w:r>
      <w:r>
        <w:t xml:space="preserve">. Best-Fitting Model </w:t>
      </w:r>
      <w:proofErr w:type="gramStart"/>
      <w:r>
        <w:t>For</w:t>
      </w:r>
      <w:proofErr w:type="gramEnd"/>
      <w:r>
        <w:t xml:space="preserve"> Each Participant Across Conditions</w:t>
      </w:r>
      <w:r w:rsidRPr="00A665E5">
        <w:t>.</w:t>
      </w:r>
      <w:r>
        <w:t xml:space="preserve"> On the left, we plot the best fitting model for each participant in the gain condition. On the right, we plot the best fitting model for each participant in the loss condition. Colored lines connect the boxes from left to right, indicating for each participant whether the best fitting model in the gain condition is the same, or different, in the loss condition. Rows denote which study the participants belong to.</w:t>
      </w:r>
      <w:r w:rsidR="006A2C3D">
        <w:t xml:space="preserve"> Data from joint dataset.</w:t>
      </w:r>
    </w:p>
    <w:p w14:paraId="3CBC8691" w14:textId="77777777" w:rsidR="00E259CE" w:rsidRDefault="00E259CE">
      <w:r>
        <w:br w:type="page"/>
      </w:r>
    </w:p>
    <w:p w14:paraId="2178F055" w14:textId="0B584E46" w:rsidR="00A665E5" w:rsidRDefault="00A665E5" w:rsidP="005E2E23">
      <w:pPr>
        <w:jc w:val="both"/>
      </w:pPr>
      <w:r>
        <w:rPr>
          <w:noProof/>
        </w:rPr>
        <w:lastRenderedPageBreak/>
        <w:drawing>
          <wp:inline distT="0" distB="0" distL="0" distR="0" wp14:anchorId="503CD33C" wp14:editId="23350630">
            <wp:extent cx="5943600" cy="1981200"/>
            <wp:effectExtent l="0" t="0" r="0" b="0"/>
            <wp:docPr id="1092588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8143" name="Picture 1092588143"/>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t xml:space="preserve">Fig. </w:t>
      </w:r>
      <w:r w:rsidR="008A0AA8">
        <w:t>S10</w:t>
      </w:r>
      <w:r>
        <w:t xml:space="preserve">. </w:t>
      </w:r>
      <w:r w:rsidRPr="00A665E5">
        <w:t>Model Recovery Exercises.</w:t>
      </w:r>
      <w:r w:rsidR="005024E5">
        <w:t xml:space="preserve"> </w:t>
      </w:r>
      <w:r w:rsidR="002E6812" w:rsidRPr="00A665E5">
        <w:t xml:space="preserve">For each column, we use one of the models to simulate </w:t>
      </w:r>
      <w:r w:rsidR="002E6812">
        <w:t>multiple</w:t>
      </w:r>
      <w:r w:rsidR="002E6812" w:rsidRPr="00A665E5">
        <w:t xml:space="preserve"> datasets with different parameter combinations. We then simultaneously fit the simulated data with </w:t>
      </w:r>
      <w:r w:rsidR="002E6812">
        <w:t xml:space="preserve">both </w:t>
      </w:r>
      <w:r w:rsidR="002E6812" w:rsidRPr="00A665E5">
        <w:t xml:space="preserve">models and compare posterior model probabilities. </w:t>
      </w:r>
      <w:r w:rsidR="005024E5">
        <w:t xml:space="preserve">(Left) We simulate 24 datasets for each combination of </w:t>
      </w:r>
      <w:proofErr w:type="spellStart"/>
      <w:r w:rsidR="005024E5">
        <w:t>AddDDM</w:t>
      </w:r>
      <w:proofErr w:type="spellEnd"/>
      <w:r w:rsidR="005024E5">
        <w:t xml:space="preserve"> parameters: </w:t>
      </w:r>
      <m:oMath>
        <m:r>
          <w:rPr>
            <w:rFonts w:ascii="Cambria Math" w:hAnsi="Cambria Math"/>
          </w:rPr>
          <m:t>d∈</m:t>
        </m:r>
        <m:d>
          <m:dPr>
            <m:begChr m:val="{"/>
            <m:endChr m:val="}"/>
            <m:ctrlPr>
              <w:rPr>
                <w:rFonts w:ascii="Cambria Math" w:hAnsi="Cambria Math"/>
                <w:i/>
              </w:rPr>
            </m:ctrlPr>
          </m:dPr>
          <m:e>
            <m:r>
              <w:rPr>
                <w:rFonts w:ascii="Cambria Math" w:hAnsi="Cambria Math"/>
              </w:rPr>
              <m:t>.003, .007</m:t>
            </m:r>
          </m:e>
        </m:d>
        <m:r>
          <w:rPr>
            <w:rFonts w:ascii="Cambria Math" w:hAnsi="Cambria Math"/>
          </w:rPr>
          <m:t>,  σ∈</m:t>
        </m:r>
        <m:d>
          <m:dPr>
            <m:begChr m:val="{"/>
            <m:endChr m:val="}"/>
            <m:ctrlPr>
              <w:rPr>
                <w:rFonts w:ascii="Cambria Math" w:hAnsi="Cambria Math"/>
                <w:i/>
              </w:rPr>
            </m:ctrlPr>
          </m:dPr>
          <m:e>
            <m:r>
              <w:rPr>
                <w:rFonts w:ascii="Cambria Math" w:hAnsi="Cambria Math"/>
              </w:rPr>
              <m:t>.03, .07</m:t>
            </m:r>
          </m:e>
        </m:d>
        <m:r>
          <w:rPr>
            <w:rFonts w:ascii="Cambria Math" w:hAnsi="Cambria Math"/>
          </w:rPr>
          <m:t>,  η∈</m:t>
        </m:r>
        <m:d>
          <m:dPr>
            <m:begChr m:val="{"/>
            <m:endChr m:val="}"/>
            <m:ctrlPr>
              <w:rPr>
                <w:rFonts w:ascii="Cambria Math" w:hAnsi="Cambria Math"/>
                <w:i/>
              </w:rPr>
            </m:ctrlPr>
          </m:dPr>
          <m:e>
            <m:r>
              <w:rPr>
                <w:rFonts w:ascii="Cambria Math" w:hAnsi="Cambria Math"/>
              </w:rPr>
              <m:t>.001, .003, .005, .007, .009, .011</m:t>
            </m:r>
          </m:e>
        </m:d>
      </m:oMath>
      <w:r w:rsidR="005024E5">
        <w:rPr>
          <w:rFonts w:eastAsiaTheme="minorEastAsia"/>
        </w:rPr>
        <w:t>.</w:t>
      </w:r>
      <w:r w:rsidR="003C0D86">
        <w:rPr>
          <w:rFonts w:eastAsiaTheme="minorEastAsia"/>
        </w:rPr>
        <w:t xml:space="preserve"> (Right) We simulate 36 datasets for each combination of </w:t>
      </w:r>
      <w:proofErr w:type="spellStart"/>
      <w:r w:rsidR="003C0D86">
        <w:rPr>
          <w:rFonts w:eastAsiaTheme="minorEastAsia"/>
        </w:rPr>
        <w:t>RaDDM</w:t>
      </w:r>
      <w:proofErr w:type="spellEnd"/>
      <w:r w:rsidR="003C0D86">
        <w:rPr>
          <w:rFonts w:eastAsiaTheme="minorEastAsia"/>
        </w:rPr>
        <w:t xml:space="preserve"> parameters: </w:t>
      </w:r>
      <m:oMath>
        <m:r>
          <w:rPr>
            <w:rFonts w:ascii="Cambria Math" w:eastAsiaTheme="minorEastAsia" w:hAnsi="Cambria Math"/>
          </w:rPr>
          <m:t>d∈</m:t>
        </m:r>
        <m:d>
          <m:dPr>
            <m:begChr m:val="{"/>
            <m:endChr m:val="}"/>
            <m:ctrlPr>
              <w:rPr>
                <w:rFonts w:ascii="Cambria Math" w:eastAsiaTheme="minorEastAsia" w:hAnsi="Cambria Math"/>
                <w:i/>
              </w:rPr>
            </m:ctrlPr>
          </m:dPr>
          <m:e>
            <m:r>
              <w:rPr>
                <w:rFonts w:ascii="Cambria Math" w:eastAsiaTheme="minorEastAsia" w:hAnsi="Cambria Math"/>
              </w:rPr>
              <m:t>.003, .007</m:t>
            </m:r>
          </m:e>
        </m:d>
        <m:r>
          <w:rPr>
            <w:rFonts w:ascii="Cambria Math" w:eastAsiaTheme="minorEastAsia" w:hAnsi="Cambria Math"/>
          </w:rPr>
          <m:t>,  σ∈</m:t>
        </m:r>
        <m:d>
          <m:dPr>
            <m:begChr m:val="{"/>
            <m:endChr m:val="}"/>
            <m:ctrlPr>
              <w:rPr>
                <w:rFonts w:ascii="Cambria Math" w:eastAsiaTheme="minorEastAsia" w:hAnsi="Cambria Math"/>
                <w:i/>
              </w:rPr>
            </m:ctrlPr>
          </m:dPr>
          <m:e>
            <m:r>
              <w:rPr>
                <w:rFonts w:ascii="Cambria Math" w:eastAsiaTheme="minorEastAsia" w:hAnsi="Cambria Math"/>
              </w:rPr>
              <m:t>.03, .07</m:t>
            </m:r>
          </m:e>
        </m:d>
        <m:r>
          <w:rPr>
            <w:rFonts w:ascii="Cambria Math" w:eastAsiaTheme="minorEastAsia" w:hAnsi="Cambria Math"/>
          </w:rPr>
          <m:t>, θ∈</m:t>
        </m:r>
        <m:d>
          <m:dPr>
            <m:begChr m:val="{"/>
            <m:endChr m:val="}"/>
            <m:ctrlPr>
              <w:rPr>
                <w:rFonts w:ascii="Cambria Math" w:eastAsiaTheme="minorEastAsia" w:hAnsi="Cambria Math"/>
                <w:i/>
              </w:rPr>
            </m:ctrlPr>
          </m:dPr>
          <m:e>
            <m:r>
              <w:rPr>
                <w:rFonts w:ascii="Cambria Math" w:eastAsiaTheme="minorEastAsia" w:hAnsi="Cambria Math"/>
              </w:rPr>
              <m:t>.1, .5, .9</m:t>
            </m:r>
          </m:e>
        </m:d>
        <m:r>
          <w:rPr>
            <w:rFonts w:ascii="Cambria Math" w:eastAsiaTheme="minorEastAsia" w:hAnsi="Cambria Math"/>
          </w:rPr>
          <m:t>, r∈</m:t>
        </m:r>
        <m:d>
          <m:dPr>
            <m:begChr m:val="{"/>
            <m:endChr m:val="}"/>
            <m:ctrlPr>
              <w:rPr>
                <w:rFonts w:ascii="Cambria Math" w:eastAsiaTheme="minorEastAsia" w:hAnsi="Cambria Math"/>
                <w:i/>
              </w:rPr>
            </m:ctrlPr>
          </m:dPr>
          <m:e>
            <m:r>
              <w:rPr>
                <w:rFonts w:ascii="Cambria Math" w:eastAsiaTheme="minorEastAsia" w:hAnsi="Cambria Math"/>
              </w:rPr>
              <m:t>-12, 0, 12</m:t>
            </m:r>
          </m:e>
        </m:d>
      </m:oMath>
      <w:r w:rsidR="003C0D86">
        <w:rPr>
          <w:rFonts w:eastAsiaTheme="minorEastAsia"/>
        </w:rPr>
        <w:t>.</w:t>
      </w:r>
      <w:r w:rsidR="002E6812">
        <w:rPr>
          <w:rFonts w:eastAsiaTheme="minorEastAsia"/>
        </w:rPr>
        <w:t xml:space="preserve"> </w:t>
      </w:r>
      <w:r w:rsidR="002E6812" w:rsidRPr="00A665E5">
        <w:t>Rows are separated based on condition. Boxplots depict the 25th, 50th, and 75th percentiles.</w:t>
      </w:r>
    </w:p>
    <w:p w14:paraId="5727FCE6" w14:textId="77777777" w:rsidR="00BB4617" w:rsidRDefault="00BB4617" w:rsidP="005E2E23">
      <w:pPr>
        <w:jc w:val="both"/>
      </w:pPr>
    </w:p>
    <w:p w14:paraId="78BD7D9E" w14:textId="18891E65" w:rsidR="00BB4617" w:rsidRDefault="00BB4617">
      <w:r>
        <w:br w:type="page"/>
      </w:r>
    </w:p>
    <w:p w14:paraId="5F5FD63E" w14:textId="27B9DF16" w:rsidR="00BB4617" w:rsidRDefault="00BB4617" w:rsidP="005E2E23">
      <w:pPr>
        <w:jc w:val="both"/>
      </w:pPr>
      <w:r>
        <w:rPr>
          <w:noProof/>
        </w:rPr>
        <w:lastRenderedPageBreak/>
        <w:drawing>
          <wp:inline distT="0" distB="0" distL="0" distR="0" wp14:anchorId="20B01A26" wp14:editId="36A60805">
            <wp:extent cx="5943600" cy="4218305"/>
            <wp:effectExtent l="0" t="0" r="0" b="0"/>
            <wp:docPr id="13662996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99621" name="Picture 1366299621"/>
                    <pic:cNvPicPr/>
                  </pic:nvPicPr>
                  <pic:blipFill>
                    <a:blip r:embed="rId24">
                      <a:extLst>
                        <a:ext uri="{28A0092B-C50C-407E-A947-70E740481C1C}">
                          <a14:useLocalDpi xmlns:a14="http://schemas.microsoft.com/office/drawing/2010/main" val="0"/>
                        </a:ext>
                      </a:extLst>
                    </a:blip>
                    <a:stretch>
                      <a:fillRect/>
                    </a:stretch>
                  </pic:blipFill>
                  <pic:spPr>
                    <a:xfrm>
                      <a:off x="0" y="0"/>
                      <a:ext cx="5943600" cy="4218305"/>
                    </a:xfrm>
                    <a:prstGeom prst="rect">
                      <a:avLst/>
                    </a:prstGeom>
                  </pic:spPr>
                </pic:pic>
              </a:graphicData>
            </a:graphic>
          </wp:inline>
        </w:drawing>
      </w:r>
    </w:p>
    <w:p w14:paraId="1A8E7346" w14:textId="4ECB8A30" w:rsidR="00BB4617" w:rsidRDefault="00BB4617" w:rsidP="00BB4617">
      <w:pPr>
        <w:rPr>
          <w:rFonts w:eastAsiaTheme="minorEastAsia"/>
        </w:rPr>
      </w:pPr>
      <w:r>
        <w:t xml:space="preserve">Fig. S11. Participant-Level </w:t>
      </w:r>
      <w:proofErr w:type="spellStart"/>
      <w:r>
        <w:t>RaDDM</w:t>
      </w:r>
      <w:proofErr w:type="spellEnd"/>
      <w:r>
        <w:t xml:space="preserve"> Estimates</w:t>
      </w:r>
      <w:r w:rsidR="002C319B">
        <w:t>, Split by Dataset</w:t>
      </w:r>
      <w:r>
        <w:t>. Estimates of the drift rate (</w:t>
      </w:r>
      <m:oMath>
        <m:r>
          <w:rPr>
            <w:rFonts w:ascii="Cambria Math" w:hAnsi="Cambria Math"/>
          </w:rPr>
          <m:t>d</m:t>
        </m:r>
      </m:oMath>
      <w:r>
        <w:rPr>
          <w:rFonts w:eastAsiaTheme="minorEastAsia"/>
        </w:rPr>
        <w:t>), noise (</w:t>
      </w:r>
      <m:oMath>
        <m:r>
          <w:rPr>
            <w:rFonts w:ascii="Cambria Math" w:eastAsiaTheme="minorEastAsia" w:hAnsi="Cambria Math"/>
          </w:rPr>
          <m:t>σ</m:t>
        </m:r>
      </m:oMath>
      <w:r>
        <w:rPr>
          <w:rFonts w:eastAsiaTheme="minorEastAsia"/>
        </w:rPr>
        <w:t>), attentional bias (</w:t>
      </w:r>
      <m:oMath>
        <m:r>
          <w:rPr>
            <w:rFonts w:ascii="Cambria Math" w:eastAsiaTheme="minorEastAsia" w:hAnsi="Cambria Math"/>
          </w:rPr>
          <m:t>θ</m:t>
        </m:r>
      </m:oMath>
      <w:r>
        <w:rPr>
          <w:rFonts w:eastAsiaTheme="minorEastAsia"/>
        </w:rPr>
        <w:t>), and reference point (</w:t>
      </w:r>
      <m:oMath>
        <m:r>
          <w:rPr>
            <w:rFonts w:ascii="Cambria Math" w:eastAsiaTheme="minorEastAsia" w:hAnsi="Cambria Math"/>
          </w:rPr>
          <m:t>r)</m:t>
        </m:r>
      </m:oMath>
      <w:r>
        <w:rPr>
          <w:rFonts w:eastAsiaTheme="minorEastAsia"/>
        </w:rPr>
        <w:t xml:space="preserve"> in the loss condition as a function of their counterpart in the gain condition. For </w:t>
      </w:r>
      <m:oMath>
        <m:r>
          <w:rPr>
            <w:rFonts w:ascii="Cambria Math" w:eastAsiaTheme="minorEastAsia" w:hAnsi="Cambria Math"/>
          </w:rPr>
          <m:t>d</m:t>
        </m:r>
      </m:oMath>
      <w:r>
        <w:rPr>
          <w:rFonts w:eastAsiaTheme="minorEastAsia"/>
        </w:rPr>
        <w:t xml:space="preserve">, </w:t>
      </w:r>
      <m:oMath>
        <m:r>
          <w:rPr>
            <w:rFonts w:ascii="Cambria Math" w:eastAsiaTheme="minorEastAsia" w:hAnsi="Cambria Math"/>
          </w:rPr>
          <m:t>σ</m:t>
        </m:r>
      </m:oMath>
      <w:r>
        <w:rPr>
          <w:rFonts w:eastAsiaTheme="minorEastAsia"/>
        </w:rPr>
        <w:t xml:space="preserve">, and </w:t>
      </w:r>
      <m:oMath>
        <m:r>
          <w:rPr>
            <w:rFonts w:ascii="Cambria Math" w:eastAsiaTheme="minorEastAsia" w:hAnsi="Cambria Math"/>
          </w:rPr>
          <m:t>θ</m:t>
        </m:r>
      </m:oMath>
      <w:r>
        <w:rPr>
          <w:rFonts w:eastAsiaTheme="minorEastAsia"/>
        </w:rPr>
        <w:t xml:space="preserve">, grey lines indicate the equality across the two conditions. For </w:t>
      </w:r>
      <m:oMath>
        <m:r>
          <w:rPr>
            <w:rFonts w:ascii="Cambria Math" w:eastAsiaTheme="minorEastAsia" w:hAnsi="Cambria Math"/>
          </w:rPr>
          <m:t>r</m:t>
        </m:r>
      </m:oMath>
      <w:r>
        <w:rPr>
          <w:rFonts w:eastAsiaTheme="minorEastAsia"/>
        </w:rPr>
        <w:t>, grey lines indicate the minimum possible outcome in that condition for that study. Study 1 in blue, Study 2 in red.</w:t>
      </w:r>
    </w:p>
    <w:p w14:paraId="02D78774" w14:textId="787B3A83" w:rsidR="00E259CE" w:rsidRDefault="00E259CE"/>
    <w:p w14:paraId="24C39869" w14:textId="15FF2F94" w:rsidR="00BB4617" w:rsidRDefault="00BB4617">
      <w:r>
        <w:br w:type="page"/>
      </w:r>
    </w:p>
    <w:p w14:paraId="00664347" w14:textId="451A6E2F" w:rsidR="00D56181" w:rsidRDefault="006A2C3D" w:rsidP="00BB4617">
      <w:pPr>
        <w:jc w:val="center"/>
      </w:pPr>
      <w:r>
        <w:rPr>
          <w:noProof/>
        </w:rPr>
        <w:lastRenderedPageBreak/>
        <w:drawing>
          <wp:inline distT="0" distB="0" distL="0" distR="0" wp14:anchorId="2201D3B9" wp14:editId="74167B18">
            <wp:extent cx="5486400" cy="3657600"/>
            <wp:effectExtent l="0" t="0" r="0" b="0"/>
            <wp:docPr id="1322763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63381" name="Picture 1322763381"/>
                    <pic:cNvPicPr/>
                  </pic:nvPicPr>
                  <pic:blipFill>
                    <a:blip r:embed="rId2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5C997EC" w14:textId="765E6FFD" w:rsidR="00497BE2" w:rsidRDefault="00D56181" w:rsidP="005E2E23">
      <w:pPr>
        <w:jc w:val="both"/>
      </w:pPr>
      <w:r>
        <w:t xml:space="preserve">Fig. </w:t>
      </w:r>
      <w:r w:rsidR="008A0AA8">
        <w:t>S</w:t>
      </w:r>
      <w:r w:rsidR="003A32B3">
        <w:t>1</w:t>
      </w:r>
      <w:r w:rsidR="00BB4617">
        <w:t>2</w:t>
      </w:r>
      <w:r>
        <w:t xml:space="preserve">. </w:t>
      </w:r>
      <w:proofErr w:type="spellStart"/>
      <w:r>
        <w:t>RaDDM</w:t>
      </w:r>
      <w:proofErr w:type="spellEnd"/>
      <w:r>
        <w:t xml:space="preserve"> Parameter Correlations. Correlation matrices for parameter estimates across participants. Rows separate by </w:t>
      </w:r>
      <w:proofErr w:type="gramStart"/>
      <w:r>
        <w:t>condition,</w:t>
      </w:r>
      <w:proofErr w:type="gramEnd"/>
      <w:r>
        <w:t xml:space="preserve"> columns separate by study.</w:t>
      </w:r>
      <w:r w:rsidR="006A2C3D">
        <w:t xml:space="preserve"> Data from joint dataset.</w:t>
      </w:r>
    </w:p>
    <w:p w14:paraId="6BFB09ED" w14:textId="77777777" w:rsidR="00497BE2" w:rsidRDefault="00497BE2" w:rsidP="005E2E23">
      <w:pPr>
        <w:jc w:val="both"/>
      </w:pPr>
    </w:p>
    <w:p w14:paraId="00AF2C95" w14:textId="77777777" w:rsidR="00E259CE" w:rsidRDefault="00E259CE" w:rsidP="005E2E23">
      <w:pPr>
        <w:jc w:val="both"/>
      </w:pPr>
    </w:p>
    <w:p w14:paraId="023AD5BB" w14:textId="3DEEBBD6" w:rsidR="00497BE2" w:rsidRDefault="00497BE2" w:rsidP="005E2E23">
      <w:pPr>
        <w:jc w:val="both"/>
      </w:pPr>
      <w:r>
        <w:rPr>
          <w:noProof/>
        </w:rPr>
        <w:drawing>
          <wp:inline distT="0" distB="0" distL="0" distR="0" wp14:anchorId="0AA8E407" wp14:editId="1C6AB5D7">
            <wp:extent cx="5943600" cy="1813560"/>
            <wp:effectExtent l="0" t="0" r="0" b="2540"/>
            <wp:docPr id="17498873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87394" name="Picture 1749887394"/>
                    <pic:cNvPicPr/>
                  </pic:nvPicPr>
                  <pic:blipFill>
                    <a:blip r:embed="rId26">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inline>
        </w:drawing>
      </w:r>
    </w:p>
    <w:p w14:paraId="47890442" w14:textId="5A87140B" w:rsidR="00497BE2" w:rsidRDefault="00497BE2" w:rsidP="005E2E23">
      <w:pPr>
        <w:jc w:val="both"/>
      </w:pPr>
      <w:r>
        <w:t xml:space="preserve">Fig. </w:t>
      </w:r>
      <w:r w:rsidR="00E73BF5">
        <w:t>S</w:t>
      </w:r>
      <w:r w:rsidR="00E40249">
        <w:t>1</w:t>
      </w:r>
      <w:r w:rsidR="00BB4617">
        <w:t>3</w:t>
      </w:r>
      <w:r>
        <w:t xml:space="preserve">. </w:t>
      </w:r>
      <w:proofErr w:type="spellStart"/>
      <w:r>
        <w:t>RaDDM</w:t>
      </w:r>
      <w:proofErr w:type="spellEnd"/>
      <w:r>
        <w:t xml:space="preserve"> Parameter Recovery. For each of the 36 simulations, we calculate discrete marginal posterior distributions for each parameter. We compare the mean and approximate 95% HDI of each marginal posterior with its data generating (``true’’) value. Approximate 95% HDIs were calculated using the discrete values just outside of the mass containing 95% of the density; in other words, they are </w:t>
      </w:r>
      <m:oMath>
        <m:r>
          <w:rPr>
            <w:rFonts w:ascii="Cambria Math" w:hAnsi="Cambria Math"/>
          </w:rPr>
          <m:t>≥</m:t>
        </m:r>
      </m:oMath>
      <w:r>
        <w:t>95% HDIs.</w:t>
      </w:r>
    </w:p>
    <w:p w14:paraId="58E30571" w14:textId="77777777" w:rsidR="003158EE" w:rsidRDefault="003158EE" w:rsidP="005E2E23">
      <w:pPr>
        <w:jc w:val="both"/>
      </w:pPr>
    </w:p>
    <w:p w14:paraId="017DE78C" w14:textId="77777777" w:rsidR="003158EE" w:rsidRDefault="003158EE" w:rsidP="005E2E23">
      <w:pPr>
        <w:jc w:val="both"/>
      </w:pPr>
    </w:p>
    <w:p w14:paraId="1875D7AF" w14:textId="77777777" w:rsidR="00C04E03" w:rsidRDefault="00C04E03">
      <w:r>
        <w:br w:type="page"/>
      </w:r>
    </w:p>
    <w:p w14:paraId="6CEE7CAA" w14:textId="408E6724" w:rsidR="003158EE" w:rsidRDefault="009F13CC" w:rsidP="009F13CC">
      <w:pPr>
        <w:jc w:val="center"/>
      </w:pPr>
      <w:r>
        <w:rPr>
          <w:noProof/>
        </w:rPr>
        <w:lastRenderedPageBreak/>
        <w:drawing>
          <wp:inline distT="0" distB="0" distL="0" distR="0" wp14:anchorId="321793D1" wp14:editId="1123B961">
            <wp:extent cx="5943600" cy="4572000"/>
            <wp:effectExtent l="0" t="0" r="0" b="0"/>
            <wp:docPr id="658217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17136" name="Picture 658217136"/>
                    <pic:cNvPicPr/>
                  </pic:nvPicPr>
                  <pic:blipFill>
                    <a:blip r:embed="rId27">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48534087" w14:textId="66E13D47" w:rsidR="008B1730" w:rsidRPr="007B6ABA" w:rsidRDefault="008B1730" w:rsidP="008B1730">
      <w:pPr>
        <w:jc w:val="both"/>
      </w:pPr>
      <w:r>
        <w:t xml:space="preserve">Fig. </w:t>
      </w:r>
      <w:r w:rsidR="00E73BF5">
        <w:t>S</w:t>
      </w:r>
      <w:r w:rsidR="00C2003D">
        <w:t>1</w:t>
      </w:r>
      <w:r w:rsidR="00BB4617">
        <w:t>4</w:t>
      </w:r>
      <w:r>
        <w:t xml:space="preserve">. </w:t>
      </w:r>
      <w:proofErr w:type="spellStart"/>
      <w:r>
        <w:t>RaDDM</w:t>
      </w:r>
      <w:proofErr w:type="spellEnd"/>
      <w:r>
        <w:t xml:space="preserve"> </w:t>
      </w:r>
      <w:r w:rsidRPr="008B1730">
        <w:t>Out-of-Sample Predictions.</w:t>
      </w:r>
      <w:r>
        <w:t xml:space="preserve"> (Top Left) The probability of choosing left as a function of the normalized relative expected value of the left option, as in Row 1 of Fig. 3. (Top Right) </w:t>
      </w:r>
      <w:r w:rsidRPr="008B1730">
        <w:t>Response time as a function of the normalized best minus worst expected value, as in Row 2 of Fig.</w:t>
      </w:r>
      <w:r>
        <w:t xml:space="preserve"> 3. (Bottom Left) </w:t>
      </w:r>
      <w:r w:rsidRPr="008B1730">
        <w:t>Corrected probability of choosing the left option as a function of the net fixation time to the left option, as in Row 1 of Fig.</w:t>
      </w:r>
      <w:r>
        <w:t xml:space="preserve"> 5. </w:t>
      </w:r>
      <w:r w:rsidRPr="008B1730">
        <w:t xml:space="preserve">The corrected probability is computed by subtracting from each choice observation (coded as 1 if left chosen, and 0 otherwise) the proportion with which left is chosen at each relative expected value. </w:t>
      </w:r>
      <w:r>
        <w:t xml:space="preserve">(Bottom Right) </w:t>
      </w:r>
      <w:r w:rsidRPr="008B1730">
        <w:t xml:space="preserve">The probability of choosing the last fixated option as a function of the normalized net expected value of the left option, as in Row </w:t>
      </w:r>
      <w:r>
        <w:t>2</w:t>
      </w:r>
      <w:r w:rsidRPr="008B1730">
        <w:t xml:space="preserve"> of Fig. </w:t>
      </w:r>
      <w:r>
        <w:t>5</w:t>
      </w:r>
      <w:r w:rsidRPr="008B1730">
        <w:t xml:space="preserve">. Rows </w:t>
      </w:r>
      <w:r>
        <w:t>separate the data by condition,</w:t>
      </w:r>
      <w:r w:rsidRPr="008B1730">
        <w:t xml:space="preserve"> and </w:t>
      </w:r>
      <w:r>
        <w:t>columns separate by study</w:t>
      </w:r>
      <w:r w:rsidRPr="008B1730">
        <w:t>.</w:t>
      </w:r>
      <w:r>
        <w:t xml:space="preserve"> Out-of-sample data consists of all trials divisible by 10 from all participants</w:t>
      </w:r>
      <w:r w:rsidR="00A812CA">
        <w:t xml:space="preserve"> in joint dataset</w:t>
      </w:r>
      <w:r>
        <w:t>. 10 simulated datasets per participant.</w:t>
      </w:r>
      <w:r w:rsidRPr="008B1730">
        <w:t xml:space="preserve"> Error bars represent the standard error of the mean across all simulations for all participants.</w:t>
      </w:r>
    </w:p>
    <w:p w14:paraId="7815424B" w14:textId="183016CE" w:rsidR="008B1730" w:rsidRDefault="008B1730" w:rsidP="005E2E23">
      <w:pPr>
        <w:jc w:val="both"/>
      </w:pPr>
    </w:p>
    <w:p w14:paraId="7EDCD2F3" w14:textId="77777777" w:rsidR="00A31752" w:rsidRDefault="00A31752" w:rsidP="005E2E23">
      <w:pPr>
        <w:jc w:val="both"/>
      </w:pPr>
    </w:p>
    <w:p w14:paraId="281ADC0E" w14:textId="77777777" w:rsidR="00A94ED5" w:rsidRDefault="00A94ED5" w:rsidP="005E2E23">
      <w:pPr>
        <w:jc w:val="both"/>
        <w:rPr>
          <w:rFonts w:eastAsiaTheme="minorEastAsia"/>
        </w:rPr>
      </w:pPr>
    </w:p>
    <w:p w14:paraId="19EDDFBA" w14:textId="55AC905A" w:rsidR="00A94ED5" w:rsidRDefault="00A94ED5">
      <w:pPr>
        <w:rPr>
          <w:rFonts w:eastAsiaTheme="minorEastAsia"/>
        </w:rPr>
      </w:pPr>
      <w:r>
        <w:rPr>
          <w:rFonts w:eastAsiaTheme="minorEastAsia"/>
        </w:rPr>
        <w:br w:type="page"/>
      </w:r>
    </w:p>
    <w:p w14:paraId="582AA5DC" w14:textId="7DA34A02" w:rsidR="00A94ED5" w:rsidRDefault="00A94ED5" w:rsidP="00A94ED5">
      <w:pPr>
        <w:pStyle w:val="Heading1"/>
      </w:pPr>
      <w:r>
        <w:lastRenderedPageBreak/>
        <w:t>Supplementary Tables</w:t>
      </w:r>
    </w:p>
    <w:p w14:paraId="20379722" w14:textId="118893DA" w:rsidR="00A94ED5" w:rsidRDefault="00A94ED5" w:rsidP="00A94ED5">
      <w:r>
        <w:t>*don’t worry, confirmatory and joint values are just placeholders.</w:t>
      </w:r>
    </w:p>
    <w:p w14:paraId="34DCA81B" w14:textId="77777777" w:rsidR="00A94ED5" w:rsidRPr="00A94ED5" w:rsidRDefault="00A94ED5" w:rsidP="00A94ED5"/>
    <w:p w14:paraId="51C24B05" w14:textId="14A1F2F6" w:rsidR="00A94ED5" w:rsidRDefault="00A94ED5" w:rsidP="008D46CD">
      <w:pPr>
        <w:jc w:val="center"/>
      </w:pPr>
      <w:r>
        <w:rPr>
          <w:noProof/>
        </w:rPr>
        <w:drawing>
          <wp:inline distT="0" distB="0" distL="0" distR="0" wp14:anchorId="23F27C7E" wp14:editId="6D1D920F">
            <wp:extent cx="4521200" cy="4686300"/>
            <wp:effectExtent l="0" t="0" r="0" b="0"/>
            <wp:docPr id="191975095" name="Picture 20" descr="A table of data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5095" name="Picture 20" descr="A table of data with numbers and letter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521200" cy="4686300"/>
                    </a:xfrm>
                    <a:prstGeom prst="rect">
                      <a:avLst/>
                    </a:prstGeom>
                  </pic:spPr>
                </pic:pic>
              </a:graphicData>
            </a:graphic>
          </wp:inline>
        </w:drawing>
      </w:r>
    </w:p>
    <w:p w14:paraId="218A0329" w14:textId="77777777" w:rsidR="00A94ED5" w:rsidRDefault="00A94ED5" w:rsidP="00A94ED5"/>
    <w:p w14:paraId="01025C04" w14:textId="76C557C4" w:rsidR="00C11414" w:rsidRDefault="00A94ED5" w:rsidP="008D46CD">
      <w:pPr>
        <w:jc w:val="center"/>
        <w:rPr>
          <w:noProof/>
        </w:rPr>
      </w:pPr>
      <w:r>
        <w:rPr>
          <w:noProof/>
        </w:rPr>
        <w:lastRenderedPageBreak/>
        <w:drawing>
          <wp:inline distT="0" distB="0" distL="0" distR="0" wp14:anchorId="596D6021" wp14:editId="27C3D46B">
            <wp:extent cx="4699000" cy="5880100"/>
            <wp:effectExtent l="0" t="0" r="0" b="0"/>
            <wp:docPr id="1150672607" name="Picture 21" descr="A table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72607" name="Picture 21" descr="A table of numbers and symbol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699000" cy="5880100"/>
                    </a:xfrm>
                    <a:prstGeom prst="rect">
                      <a:avLst/>
                    </a:prstGeom>
                  </pic:spPr>
                </pic:pic>
              </a:graphicData>
            </a:graphic>
          </wp:inline>
        </w:drawing>
      </w:r>
      <w:r>
        <w:rPr>
          <w:noProof/>
        </w:rPr>
        <w:lastRenderedPageBreak/>
        <w:drawing>
          <wp:inline distT="0" distB="0" distL="0" distR="0" wp14:anchorId="3364093A" wp14:editId="1FC2B9BC">
            <wp:extent cx="4699000" cy="4762500"/>
            <wp:effectExtent l="0" t="0" r="0" b="0"/>
            <wp:docPr id="964579692" name="Picture 22"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9692" name="Picture 22" descr="A table of numbers and letter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699000" cy="4762500"/>
                    </a:xfrm>
                    <a:prstGeom prst="rect">
                      <a:avLst/>
                    </a:prstGeom>
                  </pic:spPr>
                </pic:pic>
              </a:graphicData>
            </a:graphic>
          </wp:inline>
        </w:drawing>
      </w:r>
      <w:r w:rsidR="00C11414">
        <w:rPr>
          <w:noProof/>
        </w:rPr>
        <w:lastRenderedPageBreak/>
        <w:drawing>
          <wp:inline distT="0" distB="0" distL="0" distR="0" wp14:anchorId="6028A31F" wp14:editId="27148EA7">
            <wp:extent cx="4826000" cy="4762500"/>
            <wp:effectExtent l="0" t="0" r="0" b="0"/>
            <wp:docPr id="1991322367" name="Picture 2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2367" name="Picture 23" descr="A table with numbers and lette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26000" cy="4762500"/>
                    </a:xfrm>
                    <a:prstGeom prst="rect">
                      <a:avLst/>
                    </a:prstGeom>
                  </pic:spPr>
                </pic:pic>
              </a:graphicData>
            </a:graphic>
          </wp:inline>
        </w:drawing>
      </w:r>
    </w:p>
    <w:p w14:paraId="133069DD" w14:textId="77777777" w:rsidR="00C11414" w:rsidRDefault="00C11414" w:rsidP="00A94ED5">
      <w:pPr>
        <w:rPr>
          <w:noProof/>
        </w:rPr>
      </w:pPr>
    </w:p>
    <w:p w14:paraId="5EABFC7D" w14:textId="77777777" w:rsidR="00C11414" w:rsidRDefault="00C11414" w:rsidP="008D46CD">
      <w:pPr>
        <w:jc w:val="center"/>
      </w:pPr>
      <w:r>
        <w:rPr>
          <w:noProof/>
        </w:rPr>
        <w:lastRenderedPageBreak/>
        <w:drawing>
          <wp:inline distT="0" distB="0" distL="0" distR="0" wp14:anchorId="3FFF7882" wp14:editId="251AFC8A">
            <wp:extent cx="4902200" cy="3302000"/>
            <wp:effectExtent l="0" t="0" r="0" b="0"/>
            <wp:docPr id="1155181071" name="Picture 24"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1071" name="Picture 24" descr="A table with numbers and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02200" cy="3302000"/>
                    </a:xfrm>
                    <a:prstGeom prst="rect">
                      <a:avLst/>
                    </a:prstGeom>
                  </pic:spPr>
                </pic:pic>
              </a:graphicData>
            </a:graphic>
          </wp:inline>
        </w:drawing>
      </w:r>
    </w:p>
    <w:p w14:paraId="3908BC48" w14:textId="77777777" w:rsidR="0094046D" w:rsidRDefault="0094046D" w:rsidP="00A94ED5"/>
    <w:p w14:paraId="79D90DDD" w14:textId="77777777" w:rsidR="00C11414" w:rsidRDefault="00C11414" w:rsidP="00A94ED5"/>
    <w:p w14:paraId="20D00699" w14:textId="77777777" w:rsidR="00872FC3" w:rsidRDefault="006E058E" w:rsidP="008D46CD">
      <w:pPr>
        <w:jc w:val="center"/>
      </w:pPr>
      <w:r>
        <w:rPr>
          <w:noProof/>
        </w:rPr>
        <w:drawing>
          <wp:inline distT="0" distB="0" distL="0" distR="0" wp14:anchorId="65B40289" wp14:editId="14387CCD">
            <wp:extent cx="5133975" cy="1904946"/>
            <wp:effectExtent l="0" t="0" r="0" b="635"/>
            <wp:docPr id="219704881" name="Picture 1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04881" name="Picture 14" descr="A table with numbers and lette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50185" cy="1910961"/>
                    </a:xfrm>
                    <a:prstGeom prst="rect">
                      <a:avLst/>
                    </a:prstGeom>
                  </pic:spPr>
                </pic:pic>
              </a:graphicData>
            </a:graphic>
          </wp:inline>
        </w:drawing>
      </w:r>
    </w:p>
    <w:p w14:paraId="17F60715" w14:textId="77777777" w:rsidR="00872FC3" w:rsidRDefault="00872FC3" w:rsidP="008D46CD">
      <w:pPr>
        <w:jc w:val="center"/>
      </w:pPr>
    </w:p>
    <w:p w14:paraId="164405D3" w14:textId="6799F26C" w:rsidR="00A94ED5" w:rsidRPr="00A94ED5" w:rsidRDefault="00872FC3" w:rsidP="008D46CD">
      <w:pPr>
        <w:jc w:val="center"/>
      </w:pPr>
      <w:r>
        <w:rPr>
          <w:noProof/>
        </w:rPr>
        <w:drawing>
          <wp:inline distT="0" distB="0" distL="0" distR="0" wp14:anchorId="1838D723" wp14:editId="0FBFB88B">
            <wp:extent cx="5088406" cy="1710813"/>
            <wp:effectExtent l="0" t="0" r="4445" b="3810"/>
            <wp:docPr id="229299115" name="Picture 3"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99115" name="Picture 3" descr="A white text with black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27648" cy="1724007"/>
                    </a:xfrm>
                    <a:prstGeom prst="rect">
                      <a:avLst/>
                    </a:prstGeom>
                  </pic:spPr>
                </pic:pic>
              </a:graphicData>
            </a:graphic>
          </wp:inline>
        </w:drawing>
      </w:r>
    </w:p>
    <w:sectPr w:rsidR="00A94ED5" w:rsidRPr="00A94E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A93"/>
    <w:multiLevelType w:val="hybridMultilevel"/>
    <w:tmpl w:val="710A25D8"/>
    <w:lvl w:ilvl="0" w:tplc="499EA17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FC272F"/>
    <w:multiLevelType w:val="hybridMultilevel"/>
    <w:tmpl w:val="98FEB7BA"/>
    <w:lvl w:ilvl="0" w:tplc="597C4AEC">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2610617">
    <w:abstractNumId w:val="0"/>
  </w:num>
  <w:num w:numId="2" w16cid:durableId="17688428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CF3"/>
    <w:rsid w:val="000029F0"/>
    <w:rsid w:val="0003734E"/>
    <w:rsid w:val="00042A3F"/>
    <w:rsid w:val="000431CC"/>
    <w:rsid w:val="00091699"/>
    <w:rsid w:val="000F1897"/>
    <w:rsid w:val="00100379"/>
    <w:rsid w:val="00131307"/>
    <w:rsid w:val="00134758"/>
    <w:rsid w:val="0022314B"/>
    <w:rsid w:val="00235EBD"/>
    <w:rsid w:val="0024461A"/>
    <w:rsid w:val="002742E6"/>
    <w:rsid w:val="002A6776"/>
    <w:rsid w:val="002B69BF"/>
    <w:rsid w:val="002C319B"/>
    <w:rsid w:val="002D467E"/>
    <w:rsid w:val="002D72EC"/>
    <w:rsid w:val="002E15F6"/>
    <w:rsid w:val="002E45EC"/>
    <w:rsid w:val="002E6812"/>
    <w:rsid w:val="00314652"/>
    <w:rsid w:val="003158EE"/>
    <w:rsid w:val="00351CF3"/>
    <w:rsid w:val="00375F44"/>
    <w:rsid w:val="003A32B3"/>
    <w:rsid w:val="003A40CD"/>
    <w:rsid w:val="003C0D86"/>
    <w:rsid w:val="003C4AD0"/>
    <w:rsid w:val="003E3985"/>
    <w:rsid w:val="00447780"/>
    <w:rsid w:val="00474034"/>
    <w:rsid w:val="00497BE2"/>
    <w:rsid w:val="004F6C0F"/>
    <w:rsid w:val="005024E5"/>
    <w:rsid w:val="0054228C"/>
    <w:rsid w:val="00570F24"/>
    <w:rsid w:val="005E2E23"/>
    <w:rsid w:val="005F108F"/>
    <w:rsid w:val="00625B0B"/>
    <w:rsid w:val="00671E4B"/>
    <w:rsid w:val="00673926"/>
    <w:rsid w:val="00680F21"/>
    <w:rsid w:val="006A2C3D"/>
    <w:rsid w:val="006E058E"/>
    <w:rsid w:val="00742708"/>
    <w:rsid w:val="00751F2E"/>
    <w:rsid w:val="00780EB7"/>
    <w:rsid w:val="007B6ABA"/>
    <w:rsid w:val="007D627C"/>
    <w:rsid w:val="007E7600"/>
    <w:rsid w:val="008315AC"/>
    <w:rsid w:val="00851AC9"/>
    <w:rsid w:val="0086515D"/>
    <w:rsid w:val="00872FC3"/>
    <w:rsid w:val="008A0AA8"/>
    <w:rsid w:val="008B1730"/>
    <w:rsid w:val="008D46CD"/>
    <w:rsid w:val="008D5A5E"/>
    <w:rsid w:val="00926A3C"/>
    <w:rsid w:val="00927E75"/>
    <w:rsid w:val="009344E5"/>
    <w:rsid w:val="0094046D"/>
    <w:rsid w:val="009933B1"/>
    <w:rsid w:val="009C0A47"/>
    <w:rsid w:val="009E515D"/>
    <w:rsid w:val="009F13CC"/>
    <w:rsid w:val="00A24E7A"/>
    <w:rsid w:val="00A31752"/>
    <w:rsid w:val="00A6304F"/>
    <w:rsid w:val="00A665E5"/>
    <w:rsid w:val="00A812CA"/>
    <w:rsid w:val="00A94ED5"/>
    <w:rsid w:val="00AD1DAB"/>
    <w:rsid w:val="00AE34EE"/>
    <w:rsid w:val="00AE56B9"/>
    <w:rsid w:val="00AF02AB"/>
    <w:rsid w:val="00AF4812"/>
    <w:rsid w:val="00B12501"/>
    <w:rsid w:val="00B31974"/>
    <w:rsid w:val="00BA418A"/>
    <w:rsid w:val="00BB4617"/>
    <w:rsid w:val="00BC2EE4"/>
    <w:rsid w:val="00C0261B"/>
    <w:rsid w:val="00C02E9B"/>
    <w:rsid w:val="00C04E03"/>
    <w:rsid w:val="00C07A28"/>
    <w:rsid w:val="00C10E5F"/>
    <w:rsid w:val="00C11414"/>
    <w:rsid w:val="00C16662"/>
    <w:rsid w:val="00C17C2B"/>
    <w:rsid w:val="00C2003D"/>
    <w:rsid w:val="00C27C09"/>
    <w:rsid w:val="00C40A94"/>
    <w:rsid w:val="00C65D3E"/>
    <w:rsid w:val="00C91CB7"/>
    <w:rsid w:val="00C97CFF"/>
    <w:rsid w:val="00CB2C01"/>
    <w:rsid w:val="00CC3E8C"/>
    <w:rsid w:val="00CD3877"/>
    <w:rsid w:val="00D001C6"/>
    <w:rsid w:val="00D00312"/>
    <w:rsid w:val="00D00C46"/>
    <w:rsid w:val="00D10B9D"/>
    <w:rsid w:val="00D12E79"/>
    <w:rsid w:val="00D41D00"/>
    <w:rsid w:val="00D56181"/>
    <w:rsid w:val="00D84C72"/>
    <w:rsid w:val="00DA4F5A"/>
    <w:rsid w:val="00E259CE"/>
    <w:rsid w:val="00E40249"/>
    <w:rsid w:val="00E405AF"/>
    <w:rsid w:val="00E41A5B"/>
    <w:rsid w:val="00E7109B"/>
    <w:rsid w:val="00E73BF5"/>
    <w:rsid w:val="00EB761E"/>
    <w:rsid w:val="00F41D41"/>
    <w:rsid w:val="00FA5978"/>
    <w:rsid w:val="00FE5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7BA5B"/>
  <w15:chartTrackingRefBased/>
  <w15:docId w15:val="{C9508277-1A56-DA41-9E82-3B95B8E1E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6A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AB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7A28"/>
    <w:rPr>
      <w:color w:val="808080"/>
    </w:rPr>
  </w:style>
  <w:style w:type="paragraph" w:styleId="Title">
    <w:name w:val="Title"/>
    <w:basedOn w:val="Normal"/>
    <w:next w:val="Normal"/>
    <w:link w:val="TitleChar"/>
    <w:uiPriority w:val="10"/>
    <w:qFormat/>
    <w:rsid w:val="00C40A9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0A9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B6A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6A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4E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png"/><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30</Pages>
  <Words>3784</Words>
  <Characters>21569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Eum, Brenden</dc:creator>
  <cp:keywords/>
  <dc:description/>
  <cp:lastModifiedBy>Eum, Brenden</cp:lastModifiedBy>
  <cp:revision>58</cp:revision>
  <cp:lastPrinted>2024-06-14T21:30:00Z</cp:lastPrinted>
  <dcterms:created xsi:type="dcterms:W3CDTF">2024-06-07T00:03:00Z</dcterms:created>
  <dcterms:modified xsi:type="dcterms:W3CDTF">2024-06-26T21:59:00Z</dcterms:modified>
</cp:coreProperties>
</file>