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3ED5" w14:textId="512C7686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w:r w:rsidRPr="00266AC5">
        <w:rPr>
          <w:rFonts w:ascii="Calibri" w:eastAsia="Times New Roman" w:hAnsi="Calibri" w:cs="Calibri"/>
          <w:color w:val="1D1C1D"/>
          <w:kern w:val="0"/>
          <w14:ligatures w14:val="none"/>
        </w:rPr>
        <w:t xml:space="preserve">I believe the additional constant that we're adding (k) to the range normalized </w:t>
      </w:r>
      <w:proofErr w:type="spellStart"/>
      <w:r w:rsidRPr="00266AC5">
        <w:rPr>
          <w:rFonts w:ascii="Calibri" w:eastAsia="Times New Roman" w:hAnsi="Calibri" w:cs="Calibri"/>
          <w:color w:val="1D1C1D"/>
          <w:kern w:val="0"/>
          <w14:ligatures w14:val="none"/>
        </w:rPr>
        <w:t>aDDM</w:t>
      </w:r>
      <w:proofErr w:type="spellEnd"/>
      <w:r w:rsidRPr="00266AC5">
        <w:rPr>
          <w:rFonts w:ascii="Calibri" w:eastAsia="Times New Roman" w:hAnsi="Calibri" w:cs="Calibri"/>
          <w:color w:val="1D1C1D"/>
          <w:kern w:val="0"/>
          <w14:ligatures w14:val="none"/>
        </w:rPr>
        <w:t xml:space="preserve"> makes it so that the </w:t>
      </w:r>
      <w:proofErr w:type="spellStart"/>
      <w:r w:rsidRPr="00266AC5">
        <w:rPr>
          <w:rFonts w:ascii="Calibri" w:eastAsia="Times New Roman" w:hAnsi="Calibri" w:cs="Calibri"/>
          <w:color w:val="1D1C1D"/>
          <w:kern w:val="0"/>
          <w14:ligatures w14:val="none"/>
        </w:rPr>
        <w:t>aDDM</w:t>
      </w:r>
      <w:proofErr w:type="spellEnd"/>
      <w:r w:rsidRPr="00266AC5">
        <w:rPr>
          <w:rFonts w:ascii="Calibri" w:eastAsia="Times New Roman" w:hAnsi="Calibri" w:cs="Calibri"/>
          <w:color w:val="1D1C1D"/>
          <w:kern w:val="0"/>
          <w14:ligatures w14:val="none"/>
        </w:rPr>
        <w:t xml:space="preserve"> is simultaneously multiplicative and additive, like how we were discussing during out last meeting. Explanation:</w:t>
      </w:r>
    </w:p>
    <w:p w14:paraId="72945A6F" w14:textId="77777777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</w:p>
    <w:p w14:paraId="7C22E4B4" w14:textId="1538B082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w:r w:rsidRPr="00266AC5">
        <w:rPr>
          <w:rFonts w:ascii="Calibri" w:eastAsia="Times New Roman" w:hAnsi="Calibri" w:cs="Calibri"/>
          <w:color w:val="1D1C1D"/>
          <w:kern w:val="0"/>
          <w14:ligatures w14:val="none"/>
        </w:rPr>
        <w:t>Suppose DM is looking left:</w:t>
      </w:r>
    </w:p>
    <w:p w14:paraId="0F443AE5" w14:textId="77777777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</w:p>
    <w:p w14:paraId="1816A5B5" w14:textId="2FC0DEF6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μ</m:t>
              </m:r>
            </m:e>
            <m:sub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L</m:t>
              </m:r>
            </m:sub>
          </m:sSub>
          <m:r>
            <w:rPr>
              <w:rFonts w:ascii="Cambria Math" w:eastAsia="Times New Roman" w:hAnsi="Cambria Math" w:cs="Calibri"/>
              <w:color w:val="1D1C1D"/>
              <w:kern w:val="0"/>
              <w14:ligatures w14:val="none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1D1C1D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1D1C1D"/>
                          <w:kern w:val="0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norm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-θ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1D1C1D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1D1C1D"/>
                          <w:kern w:val="0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norm</m:t>
                      </m:r>
                    </m:sup>
                  </m:sSubSup>
                </m:e>
              </m:d>
            </m:e>
          </m:d>
        </m:oMath>
      </m:oMathPara>
    </w:p>
    <w:p w14:paraId="7649CEB2" w14:textId="0BF35359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w:proofErr w:type="gramStart"/>
      <w:r w:rsidRPr="00266AC5">
        <w:rPr>
          <w:rFonts w:ascii="Calibri" w:eastAsia="Times New Roman" w:hAnsi="Calibri" w:cs="Calibri"/>
          <w:color w:val="1D1C1D"/>
          <w:kern w:val="0"/>
          <w14:ligatures w14:val="none"/>
        </w:rPr>
        <w:t>Where</w:t>
      </w:r>
      <w:proofErr w:type="gramEnd"/>
    </w:p>
    <w:p w14:paraId="795902BC" w14:textId="41F08C90" w:rsidR="00D00C46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i</m:t>
              </m:r>
            </m:sub>
            <m:sup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norm</m:t>
              </m:r>
            </m:sup>
          </m:sSubSup>
          <m:r>
            <w:rPr>
              <w:rFonts w:ascii="Cambria Math" w:eastAsia="Times New Roman" w:hAnsi="Cambria Math" w:cs="Calibri"/>
              <w:color w:val="1D1C1D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1D1C1D"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V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1D1C1D"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1D1C1D"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1D1C1D"/>
                          <w:kern w:val="0"/>
                          <w14:ligatures w14:val="none"/>
                        </w:rPr>
                        <m:t>V</m:t>
                      </m:r>
                    </m:e>
                  </m:d>
                </m:e>
              </m:func>
            </m:den>
          </m:f>
        </m:oMath>
      </m:oMathPara>
    </w:p>
    <w:p w14:paraId="1757D6B7" w14:textId="77777777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</w:p>
    <w:p w14:paraId="45118924" w14:textId="1D6BBD6D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w:r w:rsidRPr="00266AC5">
        <w:rPr>
          <w:rFonts w:ascii="Calibri" w:eastAsia="Times New Roman" w:hAnsi="Calibri" w:cs="Calibri"/>
          <w:color w:val="1D1C1D"/>
          <w:kern w:val="0"/>
          <w14:ligatures w14:val="none"/>
        </w:rPr>
        <w:t>If we write it out like this, then</w:t>
      </w:r>
      <w:r>
        <w:rPr>
          <w:rFonts w:ascii="Calibri" w:eastAsia="Times New Roman" w:hAnsi="Calibri" w:cs="Calibri"/>
          <w:color w:val="1D1C1D"/>
          <w:kern w:val="0"/>
          <w14:ligatures w14:val="none"/>
        </w:rPr>
        <w:t xml:space="preserve"> drift looks like a combination of a multiplicative and an additive form of attentional bias.</w:t>
      </w:r>
    </w:p>
    <w:p w14:paraId="21D8C7CE" w14:textId="1DEA7377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μ</m:t>
              </m:r>
            </m:e>
            <m:sub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L</m:t>
              </m:r>
            </m:sub>
          </m:sSub>
          <m:r>
            <w:rPr>
              <w:rFonts w:ascii="Cambria Math" w:eastAsia="Times New Roman" w:hAnsi="Cambria Math" w:cs="Calibri"/>
              <w:color w:val="1D1C1D"/>
              <w:kern w:val="0"/>
              <w14:ligatures w14:val="none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L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norm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-θ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norm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1-θ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'</m:t>
                  </m:r>
                </m:sup>
              </m:sSup>
            </m:e>
          </m:d>
        </m:oMath>
      </m:oMathPara>
    </w:p>
    <w:p w14:paraId="5D99B2EB" w14:textId="77777777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</w:p>
    <w:p w14:paraId="29945D9D" w14:textId="1CD07937" w:rsid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w:r>
        <w:rPr>
          <w:rFonts w:ascii="Calibri" w:eastAsia="Times New Roman" w:hAnsi="Calibri" w:cs="Calibri"/>
          <w:color w:val="1D1C1D"/>
          <w:kern w:val="0"/>
          <w14:ligatures w14:val="none"/>
        </w:rPr>
        <w:t xml:space="preserve">And similarly, if the DM is looking right, </w:t>
      </w:r>
      <w:proofErr w:type="gramStart"/>
      <w:r>
        <w:rPr>
          <w:rFonts w:ascii="Calibri" w:eastAsia="Times New Roman" w:hAnsi="Calibri" w:cs="Calibri"/>
          <w:color w:val="1D1C1D"/>
          <w:kern w:val="0"/>
          <w14:ligatures w14:val="none"/>
        </w:rPr>
        <w:t>then</w:t>
      </w:r>
      <w:proofErr w:type="gramEnd"/>
    </w:p>
    <w:p w14:paraId="26CC9267" w14:textId="014D5CF9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μ</m:t>
              </m:r>
            </m:e>
            <m:sub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R</m:t>
              </m:r>
            </m:sub>
          </m:sSub>
          <m:r>
            <w:rPr>
              <w:rFonts w:ascii="Cambria Math" w:eastAsia="Times New Roman" w:hAnsi="Cambria Math" w:cs="Calibri"/>
              <w:color w:val="1D1C1D"/>
              <w:kern w:val="0"/>
              <w14:ligatures w14:val="none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L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norm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-θ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norm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θ-1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'</m:t>
                  </m:r>
                </m:sup>
              </m:sSup>
            </m:e>
          </m:d>
        </m:oMath>
      </m:oMathPara>
    </w:p>
    <w:p w14:paraId="405EEB39" w14:textId="78C4111F" w:rsid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</w:p>
    <w:p w14:paraId="2EFB5B0F" w14:textId="7C45DF06" w:rsid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w:r>
        <w:rPr>
          <w:rFonts w:ascii="Calibri" w:eastAsia="Times New Roman" w:hAnsi="Calibri" w:cs="Calibri"/>
          <w:color w:val="1D1C1D"/>
          <w:kern w:val="0"/>
          <w14:ligatures w14:val="none"/>
        </w:rPr>
        <w:t>Notice that</w:t>
      </w:r>
    </w:p>
    <w:p w14:paraId="06E83C14" w14:textId="5B426399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1-θ</m:t>
              </m:r>
            </m:e>
          </m:d>
          <m:sSup>
            <m:sSupPr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k</m:t>
              </m:r>
            </m:e>
            <m:sup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'</m:t>
              </m:r>
            </m:sup>
          </m:sSup>
          <m:r>
            <w:rPr>
              <w:rFonts w:ascii="Cambria Math" w:eastAsia="Times New Roman" w:hAnsi="Cambria Math" w:cs="Calibri"/>
              <w:color w:val="1D1C1D"/>
              <w:kern w:val="0"/>
              <w14:ligatures w14:val="none"/>
            </w:rPr>
            <m:t>= -1*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θ-1</m:t>
              </m:r>
            </m:e>
          </m:d>
          <m:r>
            <w:rPr>
              <w:rFonts w:ascii="Cambria Math" w:eastAsia="Times New Roman" w:hAnsi="Cambria Math" w:cs="Calibri"/>
              <w:color w:val="1D1C1D"/>
              <w:kern w:val="0"/>
              <w14:ligatures w14:val="none"/>
            </w:rPr>
            <m:t>k'</m:t>
          </m:r>
        </m:oMath>
      </m:oMathPara>
    </w:p>
    <w:p w14:paraId="2DE4F277" w14:textId="36397644" w:rsid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</w:p>
    <w:p w14:paraId="642171BB" w14:textId="13DF4AA3" w:rsid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w:r>
        <w:rPr>
          <w:rFonts w:ascii="Calibri" w:eastAsia="Times New Roman" w:hAnsi="Calibri" w:cs="Calibri"/>
          <w:color w:val="1D1C1D"/>
          <w:kern w:val="0"/>
          <w14:ligatures w14:val="none"/>
        </w:rPr>
        <w:t xml:space="preserve">Let </w:t>
      </w:r>
      <m:oMath>
        <m:r>
          <w:rPr>
            <w:rFonts w:ascii="Cambria Math" w:eastAsia="Times New Roman" w:hAnsi="Cambria Math" w:cs="Calibri"/>
            <w:color w:val="1D1C1D"/>
            <w:kern w:val="0"/>
            <w14:ligatures w14:val="none"/>
          </w:rPr>
          <m:t>k=</m:t>
        </m:r>
        <m:d>
          <m:dPr>
            <m:ctrlPr>
              <w:rPr>
                <w:rFonts w:ascii="Cambria Math" w:eastAsia="Times New Roman" w:hAnsi="Cambria Math" w:cs="Calibri"/>
                <w:i/>
                <w:color w:val="1D1C1D"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Calibri"/>
                <w:color w:val="1D1C1D"/>
                <w:kern w:val="0"/>
                <w14:ligatures w14:val="none"/>
              </w:rPr>
              <m:t>1-θ</m:t>
            </m:r>
          </m:e>
        </m:d>
        <m:r>
          <w:rPr>
            <w:rFonts w:ascii="Cambria Math" w:eastAsia="Times New Roman" w:hAnsi="Cambria Math" w:cs="Calibri"/>
            <w:color w:val="1D1C1D"/>
            <w:kern w:val="0"/>
            <w14:ligatures w14:val="none"/>
          </w:rPr>
          <m:t>k'</m:t>
        </m:r>
      </m:oMath>
      <w:r>
        <w:rPr>
          <w:rFonts w:ascii="Calibri" w:eastAsia="Times New Roman" w:hAnsi="Calibri" w:cs="Calibri"/>
          <w:color w:val="1D1C1D"/>
          <w:kern w:val="0"/>
          <w14:ligatures w14:val="none"/>
        </w:rPr>
        <w:t>. Then,</w:t>
      </w:r>
    </w:p>
    <w:p w14:paraId="0A4481A6" w14:textId="2EE1BD40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μ</m:t>
              </m:r>
            </m:e>
            <m:sub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L</m:t>
              </m:r>
            </m:sub>
          </m:sSub>
          <m:r>
            <w:rPr>
              <w:rFonts w:ascii="Cambria Math" w:eastAsia="Times New Roman" w:hAnsi="Cambria Math" w:cs="Calibri"/>
              <w:color w:val="1D1C1D"/>
              <w:kern w:val="0"/>
              <w14:ligatures w14:val="none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L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norm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-θ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norm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k</m:t>
              </m:r>
            </m:e>
          </m:d>
        </m:oMath>
      </m:oMathPara>
    </w:p>
    <w:p w14:paraId="272803D9" w14:textId="3CF937C4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μ</m:t>
              </m:r>
            </m:e>
            <m:sub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R</m:t>
              </m:r>
            </m:sub>
          </m:sSub>
          <m:r>
            <w:rPr>
              <w:rFonts w:ascii="Cambria Math" w:eastAsia="Times New Roman" w:hAnsi="Cambria Math" w:cs="Calibri"/>
              <w:color w:val="1D1C1D"/>
              <w:kern w:val="0"/>
              <w14:ligatures w14:val="none"/>
            </w:rPr>
            <m:t>=d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color w:val="1D1C1D"/>
                  <w:kern w:val="0"/>
                  <w14:ligatures w14:val="none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L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norm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-θ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1D1C1D"/>
                      <w:kern w:val="0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1D1C1D"/>
                      <w:kern w:val="0"/>
                      <w14:ligatures w14:val="none"/>
                    </w:rPr>
                    <m:t>norm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="Calibri"/>
                  <w:color w:val="1D1C1D"/>
                  <w:kern w:val="0"/>
                  <w14:ligatures w14:val="none"/>
                </w:rPr>
                <m:t>k</m:t>
              </m:r>
            </m:e>
          </m:d>
        </m:oMath>
      </m:oMathPara>
    </w:p>
    <w:p w14:paraId="01E41C8D" w14:textId="77777777" w:rsid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</w:p>
    <w:p w14:paraId="5D17DC3B" w14:textId="40102C5E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  <w:proofErr w:type="gramStart"/>
      <w:r>
        <w:rPr>
          <w:rFonts w:ascii="Calibri" w:eastAsia="Times New Roman" w:hAnsi="Calibri" w:cs="Calibri"/>
          <w:color w:val="1D1C1D"/>
          <w:kern w:val="0"/>
          <w14:ligatures w14:val="none"/>
        </w:rPr>
        <w:t>So</w:t>
      </w:r>
      <w:proofErr w:type="gramEnd"/>
      <w:r>
        <w:rPr>
          <w:rFonts w:ascii="Calibri" w:eastAsia="Times New Roman" w:hAnsi="Calibri" w:cs="Calibri"/>
          <w:color w:val="1D1C1D"/>
          <w:kern w:val="0"/>
          <w14:ligatures w14:val="none"/>
        </w:rPr>
        <w:t xml:space="preserve"> range normalization is its own thing, but if we include an additional parameter that shifts the starting point for range normalization, it’s as if we are combining a range normalized multiplicative model with an additive model of attention.</w:t>
      </w:r>
    </w:p>
    <w:p w14:paraId="248ACFA6" w14:textId="4C49009C" w:rsidR="00266AC5" w:rsidRPr="00266AC5" w:rsidRDefault="00266AC5" w:rsidP="00266AC5">
      <w:pPr>
        <w:shd w:val="clear" w:color="auto" w:fill="FFFFFF"/>
        <w:spacing w:line="276" w:lineRule="auto"/>
        <w:rPr>
          <w:rFonts w:ascii="Calibri" w:eastAsia="Times New Roman" w:hAnsi="Calibri" w:cs="Calibri"/>
          <w:color w:val="1D1C1D"/>
          <w:kern w:val="0"/>
          <w14:ligatures w14:val="none"/>
        </w:rPr>
      </w:pPr>
    </w:p>
    <w:sectPr w:rsidR="00266AC5" w:rsidRPr="0026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C5"/>
    <w:rsid w:val="00266AC5"/>
    <w:rsid w:val="007E7600"/>
    <w:rsid w:val="00D0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43A55"/>
  <w15:chartTrackingRefBased/>
  <w15:docId w15:val="{F0135FAF-C213-F44F-8A61-5BEE42E1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266AC5"/>
  </w:style>
  <w:style w:type="character" w:styleId="PlaceholderText">
    <w:name w:val="Placeholder Text"/>
    <w:basedOn w:val="DefaultParagraphFont"/>
    <w:uiPriority w:val="99"/>
    <w:semiHidden/>
    <w:rsid w:val="00266A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28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84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4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1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9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81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497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6164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602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3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4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82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96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Eum, Brenden</cp:lastModifiedBy>
  <cp:revision>1</cp:revision>
  <dcterms:created xsi:type="dcterms:W3CDTF">2023-11-04T21:17:00Z</dcterms:created>
  <dcterms:modified xsi:type="dcterms:W3CDTF">2023-11-04T21:28:00Z</dcterms:modified>
</cp:coreProperties>
</file>