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99msbfu4l5x" w:id="0"/>
      <w:bookmarkEnd w:id="0"/>
      <w:r w:rsidDel="00000000" w:rsidR="00000000" w:rsidRPr="00000000">
        <w:rPr>
          <w:rtl w:val="0"/>
        </w:rPr>
        <w:t xml:space="preserve">Study title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Decision Making Experiment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bt6x0mrvirgq" w:id="1"/>
      <w:bookmarkEnd w:id="1"/>
      <w:r w:rsidDel="00000000" w:rsidR="00000000" w:rsidRPr="00000000">
        <w:rPr>
          <w:rtl w:val="0"/>
        </w:rPr>
        <w:t xml:space="preserve">Study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444746"/>
          <w:sz w:val="21"/>
          <w:szCs w:val="21"/>
          <w:highlight w:val="whit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In this study, you will be asked to carefully read instructions describing the experiment, and to answer some questions about the instructions. Afterwards you will be asked to make a number of decisions, choosing whether or not to play slot machines with different potential outcomes.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highlight w:val="white"/>
          <w:rtl w:val="0"/>
        </w:rPr>
        <w:t xml:space="preserve">Depending on your decisions, you may earn a bonus.</w:t>
      </w:r>
    </w:p>
    <w:p w:rsidR="00000000" w:rsidDel="00000000" w:rsidP="00000000" w:rsidRDefault="00000000" w:rsidRPr="00000000" w14:paraId="00000005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d1c1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highlight w:val="white"/>
          <w:rtl w:val="0"/>
        </w:rPr>
        <w:t xml:space="preserve">PLEASE DO NOT ENTER THIS STUDY IF YOU HAVE EPILEPSY OR A HISTORY OF SEIZURES. You will see rapid sequences of red and green circles, which may be triggering for sensitive individuals.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hd852ws7mobc" w:id="2"/>
      <w:bookmarkEnd w:id="2"/>
      <w:r w:rsidDel="00000000" w:rsidR="00000000" w:rsidRPr="00000000">
        <w:rPr>
          <w:rtl w:val="0"/>
        </w:rPr>
        <w:t xml:space="preserve">Participation restrictions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Ages 18-65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Outside the EU and China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English proficiency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color vision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 or corrected-to-normal vision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epilepsy or history of seizures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11pu9n6v5s7v" w:id="3"/>
      <w:bookmarkEnd w:id="3"/>
      <w:r w:rsidDel="00000000" w:rsidR="00000000" w:rsidRPr="00000000">
        <w:rPr>
          <w:rtl w:val="0"/>
        </w:rPr>
        <w:t xml:space="preserve">Device requirements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Exclude mobile devices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browser restrictions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nswxfyt1tcxx" w:id="4"/>
      <w:bookmarkEnd w:id="4"/>
      <w:r w:rsidDel="00000000" w:rsidR="00000000" w:rsidRPr="00000000">
        <w:rPr>
          <w:rtl w:val="0"/>
        </w:rPr>
        <w:t xml:space="preserve">Estimated completion time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60 minutes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Estimated median completion time for the study. Prolific will automatically time out any participants who exceed approximately 10√(x) + x, where x is the estimated time in minutes. Hourly compensation for a study must not drop below $8 based on </w:t>
      </w:r>
      <w:r w:rsidDel="00000000" w:rsidR="00000000" w:rsidRPr="00000000">
        <w:rPr>
          <w:i w:val="1"/>
          <w:rtl w:val="0"/>
        </w:rPr>
        <w:t xml:space="preserve">both</w:t>
      </w:r>
      <w:r w:rsidDel="00000000" w:rsidR="00000000" w:rsidRPr="00000000">
        <w:rPr>
          <w:rtl w:val="0"/>
        </w:rPr>
        <w:t xml:space="preserve"> the estimated completion time and actual median completion time.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4eivm4w0ly3x" w:id="5"/>
      <w:bookmarkEnd w:id="5"/>
      <w:r w:rsidDel="00000000" w:rsidR="00000000" w:rsidRPr="00000000">
        <w:rPr>
          <w:rtl w:val="0"/>
        </w:rPr>
        <w:t xml:space="preserve">Show-up p</w:t>
      </w:r>
      <w:r w:rsidDel="00000000" w:rsidR="00000000" w:rsidRPr="00000000">
        <w:rPr>
          <w:rtl w:val="0"/>
        </w:rPr>
        <w:t xml:space="preserve">ayment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$10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jhgyan6yb3sq" w:id="6"/>
      <w:bookmarkEnd w:id="6"/>
      <w:r w:rsidDel="00000000" w:rsidR="00000000" w:rsidRPr="00000000">
        <w:rPr>
          <w:rtl w:val="0"/>
        </w:rPr>
        <w:t xml:space="preserve">Bonus structure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Participant bonus = 12 randomly selected payments from throughout the experiment(ranging from approximately -$6 to $6)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Min = $0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99th percentile = $30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o54e8z9uy02y" w:id="7"/>
      <w:bookmarkEnd w:id="7"/>
      <w:r w:rsidDel="00000000" w:rsidR="00000000" w:rsidRPr="00000000">
        <w:rPr>
          <w:rtl w:val="0"/>
        </w:rPr>
        <w:t xml:space="preserve">Number of participants to collect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50 (5 in pilot)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xlf2pmobox2i" w:id="8"/>
      <w:bookmarkEnd w:id="8"/>
      <w:r w:rsidDel="00000000" w:rsidR="00000000" w:rsidRPr="00000000">
        <w:rPr>
          <w:rtl w:val="0"/>
        </w:rPr>
        <w:t xml:space="preserve">Study link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https://research.sc/participant/login/dynamic/CE0E7BD5-9082-4FE5-A5BF-524565F41D7E?external_id={{%PROLIFIC_PID%}}&amp;external_session_id={{%SESSION_ID%}}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