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C6098F0" w14:textId="471B8EAE" w:rsidR="00D00C46" w:rsidRPr="005D6666" w:rsidRDefault="00E97A8F" w:rsidP="009014A5">
      <w:pPr>
        <w:pStyle w:val="Title"/>
        <w:rPr>
          <w:rFonts w:ascii="Arial" w:hAnsi="Arial" w:cs="Arial"/>
        </w:rPr>
      </w:pPr>
      <w:r w:rsidRPr="005D6666">
        <w:rPr>
          <w:rFonts w:ascii="Arial" w:hAnsi="Arial" w:cs="Arial"/>
        </w:rPr>
        <w:t>Interpretable Visual Features for Demand Neuroforecasting</w:t>
      </w:r>
    </w:p>
    <w:p w14:paraId="5DAB5D76" w14:textId="77777777" w:rsidR="00E97A8F" w:rsidRPr="005D6666" w:rsidRDefault="00E97A8F" w:rsidP="009014A5">
      <w:pPr>
        <w:jc w:val="both"/>
      </w:pPr>
    </w:p>
    <w:p w14:paraId="73B4EF9B" w14:textId="31A8FA44" w:rsidR="00E97A8F" w:rsidRDefault="00E97A8F" w:rsidP="009014A5">
      <w:pPr>
        <w:pStyle w:val="Heading1"/>
        <w:jc w:val="both"/>
        <w:rPr>
          <w:rFonts w:ascii="Arial" w:hAnsi="Arial" w:cs="Arial"/>
        </w:rPr>
      </w:pPr>
      <w:r w:rsidRPr="005D6666">
        <w:rPr>
          <w:rFonts w:ascii="Arial" w:hAnsi="Arial" w:cs="Arial"/>
        </w:rPr>
        <w:t>Introduction</w:t>
      </w:r>
    </w:p>
    <w:p w14:paraId="1012F5D8" w14:textId="77777777" w:rsidR="00C464CC" w:rsidRDefault="00C464CC" w:rsidP="009014A5">
      <w:pPr>
        <w:jc w:val="both"/>
      </w:pPr>
    </w:p>
    <w:p w14:paraId="0D2385E5" w14:textId="5FEF45F5" w:rsidR="0075446D" w:rsidRDefault="00A43B1F" w:rsidP="009014A5">
      <w:pPr>
        <w:jc w:val="both"/>
      </w:pPr>
      <w:r w:rsidRPr="00A43B1F">
        <w:t xml:space="preserve">Recent advancements in </w:t>
      </w:r>
      <w:r w:rsidR="00DE42D2">
        <w:t xml:space="preserve">machine learning and </w:t>
      </w:r>
      <w:r w:rsidRPr="00A43B1F">
        <w:t>demand estimation have explored the integration of novel data types, such as images and text, into traditional models. These approaches have been shown to enhance demand predictions</w:t>
      </w:r>
      <w:r w:rsidR="00CD1673">
        <w:t xml:space="preserve"> </w:t>
      </w:r>
      <w:r w:rsidRPr="00A43B1F">
        <w:t>and offer insights for improved aesthetic design</w:t>
      </w:r>
      <w:r>
        <w:t xml:space="preserve"> </w:t>
      </w:r>
      <w:r w:rsidR="00B54642">
        <w:fldChar w:fldCharType="begin"/>
      </w:r>
      <w:r w:rsidR="0075446D">
        <w:instrText xml:space="preserve"> ADDIN ZOTERO_ITEM CSL_CITATION {"citationID":"EDjRAbiM","properties":{"formattedCitation":"(Burnap, Hauser, and Timoshenko 2023; Sisodia, Burnap, and Kumar 2024)","plainCitation":"(Burnap, Hauser, and Timoshenko 2023; Sisodia, Burnap, and Kumar 2024)","noteIndex":0},"citationItems":[{"id":5368,"uris":["http://zotero.org/users/8933003/items/ABM35JFK"],"itemData":{"id":5368,"type":"article-journal","abstract":"Aesthetics are critically important to market acceptance. In the automotive industry, an improved aesthetic design can boost sales by 30% or more. Firms invest heavily in designing and testing aesthetics. A single automotive “theme clinic” can cost more than $100,000, and hundreds are conducted annually. We propose a model to augment the commonly used aesthetic design process by predicting aesthetic scores and automatically generating innovative and appealing product designs. The model combines a probabilistic variational autoencoder (VAE) with adversarial components from generative adversarial networks (GAN) and a supervised learning component. We train and evaluate the model with data from an automotive partner—images of 203 SUVs evaluated by targeted consumers and 180,000 high-quality unrated images. Our model predicts well the appeal of new aesthetic designs—43.5% improvement relative to a uniform baseline and substantial improvement over conventional machine learning models and pretrained deep neural networks. New automotive designs are generated in a controllable manner for use by design teams. We empirically verify that automatically generated designs are (1) appealing to consumers and (2) resemble designs that were introduced to the market five years after our data were collected. We provide an additional proof-of-concept application using open-source images of dining room chairs. History: Puneet Manchanda served as the senior editor. Funding: A. Burnap received support from General Motors to partially fund a postdoctoral research position for the research conducted in this work. He certifies that none of the research or its results were censored or obfuscated in its publication. J. Hauser and A. Timoshenko certify that they have no affiliations with or involvement in any organization or entity with any financial interest or non-financial interest in the subject matter or materials discussed in this manuscript. Supplemental Material: The data files are available at https://doi.org/10.1287/mksc.2022.1429.","container-title":"Marketing Science","DOI":"10.1287/mksc.2022.1429","ISSN":"0732-2399","issue":"6","journalAbbreviation":"Marketing Science","language":"en","note":"publisher: INFORMS","page":"1029-1056","source":"pubsonline.informs.org (Atypon)","title":"Product Aesthetic Design: A Machine Learning Augmentation","title-short":"Product Aesthetic Design","volume":"42","author":[{"family":"Burnap","given":"Alex"},{"family":"Hauser","given":"John R."},{"family":"Timoshenko","given":"Artem"}],"issued":{"date-parts":[["2023",11]]}}},{"id":6421,"uris":["http://zotero.org/users/8933003/items/EP3SYGWW"],"itemData":{"id":6421,"type":"article","abstract":"This article develops a method to automatically discover and quantify human-interpretable visual characteristics directly from product image data. The method is generative, and can create new visual designs spanning the space of visual characteristics. It builds on disentanglement methods in deep learning using variational autoencoders, which aim to discover underlying statistically independent and interpretable visual characteristics of an object. The impossibility theorem in the deep learning literature indicates that supervision with ground truth characteristics would be required to obtain unique disentangled representations. However, these are typically unknown in real world applications, and are in fact exactly the characteristics we want to discover. Extant machine learning methods require ground truth labels for each visual characteristic, resulting in a task requiring human evaluation and judgment to both design and operationalize. In contrast, this method postulates the use of readily available product characteristics (such as brand and price) as proxy supervisory signals to enable disentanglement. This method discovers and quantifies human-interpretable and statistically independent characteristics without any specific domain knowledge on the product category. It is applied to a dataset of watches to automatically discover interpretable visual product characteristics, obtain consumer preferences over visual designs, and generate new ideal point designs targeted to specific consumer segments.","DOI":"10.2139/ssrn.4151019","event-place":"Rochester, NY","genre":"SSRN Scholarly Paper","language":"en","number":"4151019","publisher":"Social Science Research Network","publisher-place":"Rochester, NY","source":"papers.ssrn.com","title":"Generative interpretable visual design: using disentanglement for visual conjoint analysis","title-short":"Generative interpretable visual design","URL":"https://papers.ssrn.com/abstract=4151019","author":[{"family":"Sisodia","given":"Ankit"},{"family":"Burnap","given":"Alex"},{"family":"Kumar","given":"Vineet"}],"accessed":{"date-parts":[["2025",1,15]]},"issued":{"date-parts":[["2024",7,15]]}}}],"schema":"https://github.com/citation-style-language/schema/raw/master/csl-citation.json"} </w:instrText>
      </w:r>
      <w:r w:rsidR="00B54642">
        <w:fldChar w:fldCharType="separate"/>
      </w:r>
      <w:r w:rsidR="0075446D">
        <w:rPr>
          <w:noProof/>
        </w:rPr>
        <w:t>(Burnap, Hauser, and Timoshenko 2023; Sisodia, Burnap, and Kumar 2024)</w:t>
      </w:r>
      <w:r w:rsidR="00B54642">
        <w:fldChar w:fldCharType="end"/>
      </w:r>
      <w:r w:rsidR="005D6666" w:rsidRPr="005D6666">
        <w:t xml:space="preserve">. </w:t>
      </w:r>
      <w:r w:rsidRPr="00A43B1F">
        <w:t>Despite these successes, existing research has remained largely agnostic about the underlying mechanisms that explain why image data improves demand estimation.</w:t>
      </w:r>
    </w:p>
    <w:p w14:paraId="39E1BE90" w14:textId="77777777" w:rsidR="0075446D" w:rsidRDefault="0075446D" w:rsidP="009014A5">
      <w:pPr>
        <w:jc w:val="both"/>
      </w:pPr>
    </w:p>
    <w:p w14:paraId="2489DBD4" w14:textId="5F66CEE4" w:rsidR="0075446D" w:rsidRDefault="003F0010" w:rsidP="009014A5">
      <w:pPr>
        <w:jc w:val="both"/>
      </w:pPr>
      <w:r>
        <w:t>Meanwhile</w:t>
      </w:r>
      <w:r w:rsidR="00A43B1F" w:rsidRPr="00A43B1F">
        <w:t xml:space="preserve">, consumer neuroscience has provided compelling evidence that neural activity </w:t>
      </w:r>
      <w:r w:rsidR="00F546CE">
        <w:t xml:space="preserve">(in the </w:t>
      </w:r>
      <w:proofErr w:type="spellStart"/>
      <w:r w:rsidR="00F546CE">
        <w:t>nucelus</w:t>
      </w:r>
      <w:proofErr w:type="spellEnd"/>
      <w:r w:rsidR="00F546CE">
        <w:t xml:space="preserve"> </w:t>
      </w:r>
      <w:proofErr w:type="spellStart"/>
      <w:r w:rsidR="00F546CE">
        <w:t>accumbens</w:t>
      </w:r>
      <w:proofErr w:type="spellEnd"/>
      <w:r w:rsidR="00F546CE">
        <w:t xml:space="preserve">, or </w:t>
      </w:r>
      <w:proofErr w:type="spellStart"/>
      <w:r w:rsidR="00F546CE">
        <w:t>NAcc</w:t>
      </w:r>
      <w:proofErr w:type="spellEnd"/>
      <w:r w:rsidR="00F546CE">
        <w:t xml:space="preserve">) </w:t>
      </w:r>
      <w:r w:rsidR="00A43B1F" w:rsidRPr="00A43B1F">
        <w:t>can predict large-scale, out-of-sample outcomes</w:t>
      </w:r>
      <w:r w:rsidR="001C32CC">
        <w:t xml:space="preserve">, </w:t>
      </w:r>
      <w:r w:rsidR="003F0569">
        <w:t xml:space="preserve">such as </w:t>
      </w:r>
      <w:r w:rsidR="00CD1673">
        <w:t>viral</w:t>
      </w:r>
      <w:r w:rsidR="003F0569">
        <w:t xml:space="preserve"> YouTube videos or crowdfunding </w:t>
      </w:r>
      <w:r w:rsidR="00EB0E90">
        <w:t>succe</w:t>
      </w:r>
      <w:r w:rsidR="00CD1673">
        <w:t>ss</w:t>
      </w:r>
      <w:r w:rsidR="00A43B1F">
        <w:t xml:space="preserve"> </w:t>
      </w:r>
      <w:r w:rsidR="00A43B1F">
        <w:fldChar w:fldCharType="begin"/>
      </w:r>
      <w:r w:rsidR="007E4378">
        <w:instrText xml:space="preserve"> ADDIN ZOTERO_ITEM CSL_CITATION {"citationID":"rjPykNbg","properties":{"formattedCitation":"(Genevsky and Knutson 2015; Tong et al. 2020)","plainCitation":"(Genevsky and Knutson 2015; Tong et al. 2020)","noteIndex":0},"citationItems":[{"id":8095,"uris":["http://zotero.org/users/8933003/items/GAP3UGA8"],"itemData":{"id":8095,"type":"article-journal","abstract":"Humans sometimes share with others whom they may never meet or know, in violation of the dictates of pure self-interest. Research has not established which neuropsychological mechanisms support lending decisions, nor whether their influence extends to markets involving significant financial incentives. In two studies, we found that neural affective mechanisms influence the success of requests for microloans. In a large Internet database of microloan requests ( N = 13,500), we found that positive affective features of photographs promoted the success of those requests. We then established that neural activity (i.e., in the nucleus accumbens) and self-reported positive arousal in a neuroimaging sample ( N = 28) predicted the success of loan requests on the Internet, above and beyond the effects of the neuroimaging sample’s own choices (i.e., to lend or not). These findings suggest that elicitation of positive arousal can promote the success of loan requests, both in the laboratory and on the Internet. They also highlight affective neuroscience’s potential to probe neuropsychological mechanisms that drive microlending, enhance the effectiveness of loan requests, and forecast market-level behavior.","container-title":"Psychological Science","DOI":"10.1177/0956797615588467","ISSN":"0956-7976, 1467-9280","issue":"9","journalAbbreviation":"Psychol. Sci.","language":"en","page":"1411-1422","source":"DOI.org (Crossref)","title":"Neural affective mechanisms predict market-level microlending","volume":"26","author":[{"family":"Genevsky","given":"Alexander"},{"family":"Knutson","given":"Brian"}],"issued":{"date-parts":[["2015",9]]}}},{"id":6113,"uris":["http://zotero.org/users/8933003/items/M3I6QGZV"],"itemData":{"id":6113,"type":"article-journal","abstract":"The growth of the internet has spawned new “attention markets,” in which people devote increasing amounts of time to consuming online content, but the neurobehavioral mechanisms that drive engagement in these markets have yet to be elucidated. We used functional MRI (FMRI) to examine whether individuals’ neural responses to videos could predict their choices to start and stop watching videos as well as whether group brain activity could forecast aggregate video view frequency and duration out of sample on the internet (i.e., on youtube.com). Brain activity during video onset predicted individual choice in several regions (i.e., increased activity in the nucleus accumbens [NAcc] and medial prefrontal cortex [MPFC] as well as decreased activity in the anterior insula [AIns]). Group activity during video onset in only a subset of these regions, however, forecasted both aggregate view frequency and duration (i.e., increased NAcc and decreased AIns)—and did so above and beyond conventional measures. These findings extend neuroforecasting theory and tools by revealing that activity in brain regions implicated in anticipatory affect at the onset of video viewing (but not initial choice) can forecast time allocation out of sample in an internet attention market.","container-title":"Proceedings of the National Academy of Sciences","DOI":"10.1073/pnas.1905178117","issue":"12","journalAbbreviation":"Proc. Natl. Acad. Sci.","language":"en","note":"publisher: Proceedings of the National Academy of Sciences","page":"6936-6941","source":"pnas.org (Atypon)","title":"Brain activity forecasts video engagement in an internet attention market","volume":"117","author":[{"family":"Tong","given":"Lester C."},{"family":"Acikalin","given":"M. Yavuz"},{"family":"Genevsky","given":"Alexander"},{"family":"Shiv","given":"Baba"},{"family":"Knutson","given":"Brian"}],"issued":{"date-parts":[["2020",3,24]]}}}],"schema":"https://github.com/citation-style-language/schema/raw/master/csl-citation.json"} </w:instrText>
      </w:r>
      <w:r w:rsidR="00A43B1F">
        <w:fldChar w:fldCharType="separate"/>
      </w:r>
      <w:r w:rsidR="007E4378">
        <w:rPr>
          <w:noProof/>
        </w:rPr>
        <w:t>(Genevsky and Knutson 2015; Tong et al. 2020)</w:t>
      </w:r>
      <w:r w:rsidR="00A43B1F">
        <w:fldChar w:fldCharType="end"/>
      </w:r>
      <w:r w:rsidR="003F0569">
        <w:t>.</w:t>
      </w:r>
      <w:r w:rsidR="00A43B1F">
        <w:t xml:space="preserve"> </w:t>
      </w:r>
      <w:r w:rsidR="00EB0E90" w:rsidRPr="00EB0E90">
        <w:t>However, "neuroforecasting" has</w:t>
      </w:r>
      <w:r w:rsidR="003A2AD4">
        <w:t xml:space="preserve"> largely</w:t>
      </w:r>
      <w:r w:rsidR="00EB0E90" w:rsidRPr="00EB0E90">
        <w:t xml:space="preserve"> </w:t>
      </w:r>
      <w:r w:rsidR="00120FAE" w:rsidRPr="00120FAE">
        <w:t xml:space="preserve">avoided </w:t>
      </w:r>
      <w:r w:rsidR="00A347AA">
        <w:t>attributing</w:t>
      </w:r>
      <w:r w:rsidR="00120FAE" w:rsidRPr="00120FAE">
        <w:t xml:space="preserve"> psychological meaning </w:t>
      </w:r>
      <w:r w:rsidR="00A347AA">
        <w:t>to the</w:t>
      </w:r>
      <w:r w:rsidR="00120FAE" w:rsidRPr="00120FAE">
        <w:t xml:space="preserve"> neural activity due to </w:t>
      </w:r>
      <w:r w:rsidR="00120FAE">
        <w:t xml:space="preserve">concerns about </w:t>
      </w:r>
      <w:r w:rsidR="00EB0E90" w:rsidRPr="00EB0E90">
        <w:t>reverse inference</w:t>
      </w:r>
      <w:r w:rsidR="00EB0E90">
        <w:t xml:space="preserve"> </w:t>
      </w:r>
      <w:r w:rsidR="00C06538">
        <w:fldChar w:fldCharType="begin"/>
      </w:r>
      <w:r w:rsidR="00C06538">
        <w:instrText xml:space="preserve"> ADDIN ZOTERO_ITEM CSL_CITATION {"citationID":"HiXSI8pN","properties":{"formattedCitation":"(Poldrack 2006)","plainCitation":"(Poldrack 2006)","noteIndex":0},"citationItems":[{"id":8087,"uris":["http://zotero.org/users/8933003/items/VHW2AGG9"],"itemData":{"id":8087,"type":"article-journal","container-title":"Trends in Cognitive Sciences","DOI":"10.1016/j.tics.2005.12.004","ISSN":"1364-6613, 1879-307X","issue":"2","journalAbbreviation":"Trends Cognit. Sci.","language":"en","note":"publisher: Elsevier\nPMID: 16406760","page":"59-63","source":"www.cell.com","title":"Can cognitive processes be inferred from neuroimaging data?","volume":"10","author":[{"family":"Poldrack","given":"Russell A."}],"issued":{"date-parts":[["2006",2,1]]}}}],"schema":"https://github.com/citation-style-language/schema/raw/master/csl-citation.json"} </w:instrText>
      </w:r>
      <w:r w:rsidR="00C06538">
        <w:fldChar w:fldCharType="separate"/>
      </w:r>
      <w:r w:rsidR="00C06538">
        <w:rPr>
          <w:noProof/>
        </w:rPr>
        <w:t>(Poldrack 2006)</w:t>
      </w:r>
      <w:r w:rsidR="00C06538">
        <w:fldChar w:fldCharType="end"/>
      </w:r>
      <w:r w:rsidR="00C06538">
        <w:t xml:space="preserve">. </w:t>
      </w:r>
      <w:r w:rsidR="008C1AE7" w:rsidRPr="008C1AE7">
        <w:t>Thus, a critical open question remains: Why do neural signals contain predictive value for consumer demand?</w:t>
      </w:r>
    </w:p>
    <w:p w14:paraId="3C0E2334" w14:textId="77777777" w:rsidR="00A347AA" w:rsidRDefault="00A347AA" w:rsidP="009014A5">
      <w:pPr>
        <w:jc w:val="both"/>
      </w:pPr>
    </w:p>
    <w:p w14:paraId="3D54F805" w14:textId="3B713FCD" w:rsidR="001F4ABB" w:rsidRPr="00120FAE" w:rsidRDefault="003A2AD4" w:rsidP="009014A5">
      <w:pPr>
        <w:jc w:val="both"/>
      </w:pPr>
      <w:r w:rsidRPr="003A2AD4">
        <w:t xml:space="preserve">Both literatures </w:t>
      </w:r>
      <w:r>
        <w:t xml:space="preserve">have </w:t>
      </w:r>
      <w:r w:rsidR="008C1AE7">
        <w:t>established</w:t>
      </w:r>
      <w:r w:rsidRPr="003A2AD4">
        <w:t xml:space="preserve"> that images and neural activity</w:t>
      </w:r>
      <w:r>
        <w:t xml:space="preserve"> from images</w:t>
      </w:r>
      <w:r w:rsidRPr="003A2AD4">
        <w:t xml:space="preserve"> contain market-level information, but neither explains why.</w:t>
      </w:r>
      <w:r>
        <w:t xml:space="preserve"> </w:t>
      </w:r>
      <w:r w:rsidR="00881B4C">
        <w:fldChar w:fldCharType="begin"/>
      </w:r>
      <w:r w:rsidR="0092215C">
        <w:instrText xml:space="preserve"> ADDIN ZOTERO_ITEM CSL_CITATION {"citationID":"OicPzUD0","properties":{"formattedCitation":"(Genevsky, Tong, and Knutson 2025)","plainCitation":"(Genevsky, Tong, and Knutson 2025)","dontUpdate":true,"noteIndex":0},"citationItems":[{"id":7740,"uris":["http://zotero.org/users/8933003/items/9DBR27PX"],"itemData":{"id":7740,"type":"article-journal","abstract":"Abstract\n            Accurate forecasts of population-level behavior critically inform institutional choices and public policy. While neuroforecasting research suggests that measurements of group brain activity can improve forecasting accuracy relative to behavior, less is known about how and when brain activity can effectively improve out-of-sample forecasts. We analyzed neural and behavioral data collected in two experiments to forecast choice in more vs. less demographically representative aggregate internet markets in order to test when forecasts based on brain activity generalize better than behavior. In both experiments, while the accuracy of market forecasts based on behavior varied as a function of sample representativeness, market forecasts based on brain activity remained significant regardless of sample representativeness. These findings are consistent with the notion that brain activity associated with early affective responses can generalize across individuals to index aggregate choice more broadly than downstream behavior. Thus, brain activity from limited samples may reveal generalizable components of choice that can improve market forecasts. These findings inform theory regarding which components of individual choice generalize to improve market forecasts and provide insights into mechanisms that underlie the effective application of neuroforecasting.","container-title":"Pnas Nexus","DOI":"10.1093/pnasnexus/pgaf029","ISSN":"2752-6542","issue":"2","journalAbbreviation":"Pnas Nexus","language":"en","license":"https://creativecommons.org/licenses/by/4.0/","page":"pgaf029","source":"DOI.org (Crossref)","title":"Neuroforecasting reveals generalizable components of choice","volume":"4","author":[{"family":"Genevsky","given":"Alexander"},{"family":"Tong","given":"Lester C"},{"family":"Knutson","given":"Brian"}],"editor":[{"family":"Yortsos","given":"Yannis"}],"issued":{"date-parts":[["2025",2,1]]}}}],"schema":"https://github.com/citation-style-language/schema/raw/master/csl-citation.json"} </w:instrText>
      </w:r>
      <w:r w:rsidR="00881B4C">
        <w:fldChar w:fldCharType="separate"/>
      </w:r>
      <w:r w:rsidR="00881B4C">
        <w:rPr>
          <w:noProof/>
        </w:rPr>
        <w:t>Genevsky, Tong, and Knutson (2025)</w:t>
      </w:r>
      <w:r w:rsidR="00881B4C">
        <w:fldChar w:fldCharType="end"/>
      </w:r>
      <w:r w:rsidR="00881B4C">
        <w:t xml:space="preserve"> </w:t>
      </w:r>
      <w:r w:rsidR="00CC7510">
        <w:t xml:space="preserve">suggest that neural activity </w:t>
      </w:r>
      <w:r w:rsidR="008C1AE7">
        <w:t>predicts</w:t>
      </w:r>
      <w:r w:rsidR="00CC7510">
        <w:t xml:space="preserve"> demand because individual utility functions</w:t>
      </w:r>
      <w:r w:rsidR="008C1AE7">
        <w:t xml:space="preserve"> contain</w:t>
      </w:r>
      <w:r w:rsidR="00CC7510">
        <w:t xml:space="preserve"> </w:t>
      </w:r>
      <w:r w:rsidR="00CC7510" w:rsidRPr="00120FAE">
        <w:t xml:space="preserve">a </w:t>
      </w:r>
      <w:r w:rsidR="008C1AE7">
        <w:t>shared, common</w:t>
      </w:r>
      <w:r w:rsidR="00CC7510" w:rsidRPr="00120FAE">
        <w:t xml:space="preserve"> component across individuals and an idiosyncratic component unique to each person</w:t>
      </w:r>
      <w:r w:rsidR="00CC7510">
        <w:t xml:space="preserve">. </w:t>
      </w:r>
      <w:r w:rsidR="00296122" w:rsidRPr="00296122">
        <w:t xml:space="preserve">In </w:t>
      </w:r>
      <w:r w:rsidR="003A331B">
        <w:t>quantitative marketing</w:t>
      </w:r>
      <w:r w:rsidR="00296122" w:rsidRPr="00296122">
        <w:t>, th</w:t>
      </w:r>
      <w:r w:rsidR="003A331B">
        <w:t>is</w:t>
      </w:r>
      <w:r w:rsidR="00296122" w:rsidRPr="00296122">
        <w:t xml:space="preserve"> shared component is typically estimated with observable variables, while the idiosyncratic component is often modeled as a distribution of errors. </w:t>
      </w:r>
      <w:r w:rsidR="000E43BF">
        <w:t>Building on</w:t>
      </w:r>
      <w:r w:rsidR="00120FAE" w:rsidRPr="00120FAE">
        <w:t xml:space="preserve"> the </w:t>
      </w:r>
      <w:r w:rsidR="003A331B">
        <w:t>neural</w:t>
      </w:r>
      <w:r w:rsidR="00120FAE" w:rsidRPr="00120FAE">
        <w:t xml:space="preserve"> random utility model</w:t>
      </w:r>
      <w:r w:rsidR="00881B4C">
        <w:t xml:space="preserve"> </w:t>
      </w:r>
      <w:r w:rsidR="00881B4C">
        <w:fldChar w:fldCharType="begin"/>
      </w:r>
      <w:r w:rsidR="000E43BF">
        <w:instrText xml:space="preserve"> ADDIN ZOTERO_ITEM CSL_CITATION {"citationID":"nr8Cb0ze","properties":{"formattedCitation":"(Webb 2019)","plainCitation":"(Webb 2019)","noteIndex":0},"citationItems":[{"id":78,"uris":["http://zotero.org/users/8933003/items/2MAYIAG6"],"itemData":{"id":78,"type":"article-journal","abstract":"The standard framework for modeling stochastic choice, the random utility model, is agnostic about the temporal dynamics of the decision process. In contrast, a general class of bounded accumulation models from psychology and neuroscience explicitly relate decision times to stochastic choice behavior. This article demonstrates that a random utility model can be derived from the general class of bounded accumulation models, and characterizes how the resulting distribution of random utility depends on response time. This relationship can bias the estimation of structural preference parameters. The bias can be alleviated via the inclusion of standard observables directly in the econometric specification, or through incorporating novel observables such as response time or neurobiological data. Examples of estimating risk and brand preferences are pursued.\n            This paper was accepted by Matthew Shum, marketing.","container-title":"Management Science","DOI":"10.1287/mnsc.2017.2931","ISSN":"0025-1909, 1526-5501","issue":"1","journalAbbreviation":"Management Science","language":"en","page":"230-255","source":"DOI.org (Crossref)","title":"The (Neural) Dynamics of Stochastic Choice","volume":"65","author":[{"family":"Webb","given":"Ryan"}],"issued":{"date-parts":[["2019"]]}}}],"schema":"https://github.com/citation-style-language/schema/raw/master/csl-citation.json"} </w:instrText>
      </w:r>
      <w:r w:rsidR="00881B4C">
        <w:fldChar w:fldCharType="separate"/>
      </w:r>
      <w:r w:rsidR="000E43BF">
        <w:rPr>
          <w:noProof/>
        </w:rPr>
        <w:t>(Webb 2019)</w:t>
      </w:r>
      <w:r w:rsidR="00881B4C">
        <w:fldChar w:fldCharType="end"/>
      </w:r>
      <w:r w:rsidR="00296122">
        <w:t xml:space="preserve">, </w:t>
      </w:r>
      <w:r w:rsidR="000E43BF">
        <w:fldChar w:fldCharType="begin"/>
      </w:r>
      <w:r w:rsidR="000E43BF">
        <w:instrText xml:space="preserve"> ADDIN ZOTERO_ITEM CSL_CITATION {"citationID":"euXj7m5D","properties":{"formattedCitation":"(Genevsky et al. 2025)","plainCitation":"(Genevsky et al. 2025)","dontUpdate":true,"noteIndex":0},"citationItems":[{"id":7740,"uris":["http://zotero.org/users/8933003/items/9DBR27PX"],"itemData":{"id":7740,"type":"article-journal","abstract":"Abstract\n            Accurate forecasts of population-level behavior critically inform institutional choices and public policy. While neuroforecasting research suggests that measurements of group brain activity can improve forecasting accuracy relative to behavior, less is known about how and when brain activity can effectively improve out-of-sample forecasts. We analyzed neural and behavioral data collected in two experiments to forecast choice in more vs. less demographically representative aggregate internet markets in order to test when forecasts based on brain activity generalize better than behavior. In both experiments, while the accuracy of market forecasts based on behavior varied as a function of sample representativeness, market forecasts based on brain activity remained significant regardless of sample representativeness. These findings are consistent with the notion that brain activity associated with early affective responses can generalize across individuals to index aggregate choice more broadly than downstream behavior. Thus, brain activity from limited samples may reveal generalizable components of choice that can improve market forecasts. These findings inform theory regarding which components of individual choice generalize to improve market forecasts and provide insights into mechanisms that underlie the effective application of neuroforecasting.","container-title":"Pnas Nexus","DOI":"10.1093/pnasnexus/pgaf029","ISSN":"2752-6542","issue":"2","journalAbbreviation":"Pnas Nexus","language":"en","license":"https://creativecommons.org/licenses/by/4.0/","page":"pgaf029","source":"DOI.org (Crossref)","title":"Neuroforecasting reveals generalizable components of choice","volume":"4","author":[{"family":"Genevsky","given":"Alexander"},{"family":"Tong","given":"Lester C"},{"family":"Knutson","given":"Brian"}],"editor":[{"family":"Yortsos","given":"Yannis"}],"issued":{"date-parts":[["2025",2,1]]}}}],"schema":"https://github.com/citation-style-language/schema/raw/master/csl-citation.json"} </w:instrText>
      </w:r>
      <w:r w:rsidR="000E43BF">
        <w:fldChar w:fldCharType="separate"/>
      </w:r>
      <w:r w:rsidR="000E43BF">
        <w:rPr>
          <w:noProof/>
        </w:rPr>
        <w:t>Genevsky et al. (2025)</w:t>
      </w:r>
      <w:r w:rsidR="000E43BF">
        <w:fldChar w:fldCharType="end"/>
      </w:r>
      <w:r w:rsidR="000E43BF">
        <w:t xml:space="preserve"> </w:t>
      </w:r>
      <w:r w:rsidR="00CC7510">
        <w:t>argu</w:t>
      </w:r>
      <w:r w:rsidR="000E43BF">
        <w:t>e</w:t>
      </w:r>
      <w:r w:rsidR="00CC7510">
        <w:t xml:space="preserve"> that n</w:t>
      </w:r>
      <w:r w:rsidR="00120FAE" w:rsidRPr="00120FAE">
        <w:t xml:space="preserve">euroforecasting </w:t>
      </w:r>
      <w:r w:rsidR="00296122">
        <w:t>succeeds</w:t>
      </w:r>
      <w:r w:rsidR="00120FAE" w:rsidRPr="00120FAE">
        <w:t xml:space="preserve"> because it directly </w:t>
      </w:r>
      <w:r w:rsidR="00CC7510">
        <w:t>measures</w:t>
      </w:r>
      <w:r w:rsidR="00120FAE" w:rsidRPr="00120FAE">
        <w:t xml:space="preserve"> this </w:t>
      </w:r>
      <w:r w:rsidR="00CC7510">
        <w:t>common</w:t>
      </w:r>
      <w:r w:rsidR="00120FAE" w:rsidRPr="00120FAE">
        <w:t xml:space="preserve"> </w:t>
      </w:r>
      <w:r w:rsidR="00296122">
        <w:t xml:space="preserve">utility </w:t>
      </w:r>
      <w:r w:rsidR="00120FAE" w:rsidRPr="00120FAE">
        <w:t>component</w:t>
      </w:r>
      <w:r w:rsidR="00CC7510">
        <w:t xml:space="preserve"> </w:t>
      </w:r>
      <w:r w:rsidR="00120FAE" w:rsidRPr="00120FAE">
        <w:t xml:space="preserve">from early affect brain regions. In contrast, survey responses </w:t>
      </w:r>
      <w:r w:rsidR="003A331B">
        <w:t>contain additional</w:t>
      </w:r>
      <w:r w:rsidR="00120FAE" w:rsidRPr="00120FAE">
        <w:t xml:space="preserve"> idiosyncratic variability</w:t>
      </w:r>
      <w:r w:rsidR="000E43BF">
        <w:t>, which</w:t>
      </w:r>
      <w:r w:rsidR="003A331B">
        <w:t xml:space="preserve"> reduce</w:t>
      </w:r>
      <w:r w:rsidR="00FF4049">
        <w:t>s</w:t>
      </w:r>
      <w:r w:rsidR="000E43BF">
        <w:t xml:space="preserve"> their</w:t>
      </w:r>
      <w:r w:rsidR="003A331B">
        <w:t xml:space="preserve"> predictive power relative to this common component</w:t>
      </w:r>
      <w:r w:rsidR="00CC7510">
        <w:t>.</w:t>
      </w:r>
    </w:p>
    <w:p w14:paraId="609814D0" w14:textId="77777777" w:rsidR="001F4ABB" w:rsidRDefault="001F4ABB" w:rsidP="009014A5">
      <w:pPr>
        <w:jc w:val="both"/>
      </w:pPr>
    </w:p>
    <w:p w14:paraId="2C7B5ED5" w14:textId="34E48CEE" w:rsidR="00B90517" w:rsidRDefault="00296122" w:rsidP="009014A5">
      <w:pPr>
        <w:jc w:val="both"/>
      </w:pPr>
      <w:r>
        <w:t>Building on these insights, this project</w:t>
      </w:r>
      <w:r w:rsidR="001F4ABB">
        <w:t xml:space="preserve"> </w:t>
      </w:r>
      <w:r>
        <w:t>pursues</w:t>
      </w:r>
      <w:r w:rsidR="001F4ABB">
        <w:t xml:space="preserve"> two key objectives</w:t>
      </w:r>
      <w:r w:rsidR="0045678F">
        <w:t>.</w:t>
      </w:r>
      <w:r w:rsidR="001F4ABB">
        <w:t xml:space="preserve"> First</w:t>
      </w:r>
      <w:r w:rsidR="00EB0E90" w:rsidRPr="00EB0E90">
        <w:t>,</w:t>
      </w:r>
      <w:r w:rsidR="0045678F">
        <w:t xml:space="preserve"> we</w:t>
      </w:r>
      <w:r w:rsidR="005905F1">
        <w:t xml:space="preserve"> </w:t>
      </w:r>
      <w:r w:rsidR="0045678F">
        <w:t xml:space="preserve">adapt </w:t>
      </w:r>
      <w:r>
        <w:t>a</w:t>
      </w:r>
      <w:r w:rsidR="0045678F">
        <w:t xml:space="preserve"> generative machine learning framework </w:t>
      </w:r>
      <w:r w:rsidR="0045678F">
        <w:fldChar w:fldCharType="begin"/>
      </w:r>
      <w:r w:rsidR="00FB3175">
        <w:instrText xml:space="preserve"> ADDIN ZOTERO_ITEM CSL_CITATION {"citationID":"8eMucasw","properties":{"formattedCitation":"(Ludwig and Mullainathan 2024)","plainCitation":"(Ludwig and Mullainathan 2024)","noteIndex":0},"citationItems":[{"id":8146,"uris":["http://zotero.org/users/8933003/items/49PQJNBG"],"itemData":{"id":8146,"type":"article-journal","abstract":"Abstract\n            While hypothesis testing is a highly formalized activity, hypothesis generation remains largely informal. We propose a systematic procedure to generate novel hypotheses about human behavior, which uses the capacity of machine learning algorithms to notice patterns people might not. We illustrate the procedure with a concrete application: judge decisions about whom to jail. We begin with a striking fact: the defendant’s face alone matters greatly for the judge’s jailing decision. In fact, an algorithm given only the pixels in the defendant’s mug shot accounts for up to half of the predictable variation. We develop a procedure that allows human subjects to interact with this black-box algorithm to produce hypotheses about what in the face influences judge decisions. The procedure generates hypotheses that are both interpretable and novel: they are not explained by demographics (e.g., race) or existing psychology research, nor are they already known (even if tacitly) to people or experts. Though these results are specific, our procedure is general. It provides a way to produce novel, interpretable hypotheses from any high-dimensional data set (e.g., cell phones, satellites, online behavior, news headlines, corporate filings, and high-frequency time series). A central tenet of our article is that hypothesis generation is a valuable activity, and we hope this encourages future work in this largely “prescientific” stage of science.","container-title":"The Quarterly Journal of Economics","DOI":"10.1093/qje/qjad055","ISSN":"0033-5533, 1531-4650","issue":"2","journalAbbreviation":"Q. J. Econ.","language":"en","license":"https://academic.oup.com/journals/pages/open_access/funder_policies/chorus/standard_publication_model","page":"751-827","source":"DOI.org (Crossref)","title":"Machine learning as a tool for hypothesis generation","volume":"139","author":[{"family":"Ludwig","given":"Jens"},{"family":"Mullainathan","given":"Sendhil"}],"issued":{"date-parts":[["2024",3,30]]}}}],"schema":"https://github.com/citation-style-language/schema/raw/master/csl-citation.json"} </w:instrText>
      </w:r>
      <w:r w:rsidR="0045678F">
        <w:fldChar w:fldCharType="separate"/>
      </w:r>
      <w:r w:rsidR="00FB3175">
        <w:rPr>
          <w:noProof/>
        </w:rPr>
        <w:t>(Ludwig and Mullainathan 2024)</w:t>
      </w:r>
      <w:r w:rsidR="0045678F">
        <w:fldChar w:fldCharType="end"/>
      </w:r>
      <w:r w:rsidR="0045678F">
        <w:t xml:space="preserve"> </w:t>
      </w:r>
      <w:r w:rsidR="0045678F" w:rsidRPr="0045678F">
        <w:t xml:space="preserve">to uncover </w:t>
      </w:r>
      <w:r w:rsidR="00B90517">
        <w:t xml:space="preserve">the </w:t>
      </w:r>
      <w:r w:rsidR="005905F1">
        <w:t>visual</w:t>
      </w:r>
      <w:r w:rsidR="0045678F" w:rsidRPr="0045678F">
        <w:t xml:space="preserve"> </w:t>
      </w:r>
      <w:r w:rsidR="00707A88">
        <w:t>features</w:t>
      </w:r>
      <w:r w:rsidR="003A331B">
        <w:t xml:space="preserve"> of vehicle images that</w:t>
      </w:r>
      <w:r w:rsidR="0045678F" w:rsidRPr="0045678F">
        <w:t xml:space="preserve"> correlate with </w:t>
      </w:r>
      <w:r w:rsidR="00B90517">
        <w:t xml:space="preserve">the </w:t>
      </w:r>
      <w:r w:rsidR="005905F1">
        <w:t>common</w:t>
      </w:r>
      <w:r w:rsidR="00B90517">
        <w:t xml:space="preserve"> component of utility</w:t>
      </w:r>
      <w:r w:rsidR="0045678F" w:rsidRPr="0045678F">
        <w:t>.</w:t>
      </w:r>
      <w:r w:rsidR="00EB0E90" w:rsidRPr="00EB0E90">
        <w:t xml:space="preserve"> </w:t>
      </w:r>
      <w:r w:rsidR="001F4ABB">
        <w:t>Second</w:t>
      </w:r>
      <w:r w:rsidR="00EB0E90" w:rsidRPr="00EB0E90">
        <w:t>, we</w:t>
      </w:r>
      <w:r w:rsidR="005905F1">
        <w:t xml:space="preserve"> will</w:t>
      </w:r>
      <w:r w:rsidR="00EB0E90" w:rsidRPr="00EB0E90">
        <w:t xml:space="preserve"> </w:t>
      </w:r>
      <w:r w:rsidR="005905F1">
        <w:t xml:space="preserve">attempt to </w:t>
      </w:r>
      <w:r w:rsidR="00791972">
        <w:t>show</w:t>
      </w:r>
      <w:r w:rsidR="00EB0E90" w:rsidRPr="00EB0E90">
        <w:t xml:space="preserve"> that these identified </w:t>
      </w:r>
      <w:r w:rsidR="005905F1">
        <w:t>visual features</w:t>
      </w:r>
      <w:r w:rsidR="00EB0E90" w:rsidRPr="00EB0E90">
        <w:t xml:space="preserve"> can inform the design of survey questions that outperform </w:t>
      </w:r>
      <w:r>
        <w:t>traditional stated-preference methods</w:t>
      </w:r>
      <w:r w:rsidR="00EB0E90" w:rsidRPr="00EB0E90">
        <w:t xml:space="preserve"> in demand forecasting.</w:t>
      </w:r>
    </w:p>
    <w:p w14:paraId="0773EDA0" w14:textId="77777777" w:rsidR="00170518" w:rsidRDefault="00170518" w:rsidP="009014A5">
      <w:pPr>
        <w:jc w:val="both"/>
      </w:pPr>
    </w:p>
    <w:p w14:paraId="6C82F887" w14:textId="77777777" w:rsidR="00F238F7" w:rsidRDefault="00F238F7" w:rsidP="00AC05F7">
      <w:pPr>
        <w:keepNext/>
        <w:jc w:val="center"/>
      </w:pPr>
      <w:r>
        <w:rPr>
          <w:noProof/>
        </w:rPr>
        <w:lastRenderedPageBreak/>
        <w:drawing>
          <wp:inline distT="0" distB="0" distL="0" distR="0" wp14:anchorId="67477279" wp14:editId="30FF5F37">
            <wp:extent cx="3448595" cy="1806460"/>
            <wp:effectExtent l="0" t="0" r="0" b="0"/>
            <wp:docPr id="416426096" name="Picture 3" descr="A diagram of a diagram of a couple of people and a couple of men and wom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6426096" name="Picture 3" descr="A diagram of a diagram of a couple of people and a couple of men and women&#10;&#10;Description automatically generated"/>
                    <pic:cNvPicPr/>
                  </pic:nvPicPr>
                  <pic:blipFill>
                    <a:blip r:embed="rId4" cstate="print">
                      <a:extLst>
                        <a:ext uri="{28A0092B-C50C-407E-A947-70E740481C1C}">
                          <a14:useLocalDpi xmlns:a14="http://schemas.microsoft.com/office/drawing/2010/main" val="0"/>
                        </a:ext>
                      </a:extLst>
                    </a:blip>
                    <a:stretch>
                      <a:fillRect/>
                    </a:stretch>
                  </pic:blipFill>
                  <pic:spPr>
                    <a:xfrm>
                      <a:off x="0" y="0"/>
                      <a:ext cx="3498221" cy="1832455"/>
                    </a:xfrm>
                    <a:prstGeom prst="rect">
                      <a:avLst/>
                    </a:prstGeom>
                  </pic:spPr>
                </pic:pic>
              </a:graphicData>
            </a:graphic>
          </wp:inline>
        </w:drawing>
      </w:r>
    </w:p>
    <w:p w14:paraId="18BD606D" w14:textId="10D27E3C" w:rsidR="007315F8" w:rsidRDefault="00F238F7" w:rsidP="009014A5">
      <w:pPr>
        <w:pStyle w:val="Caption"/>
        <w:jc w:val="both"/>
      </w:pPr>
      <w:r>
        <w:t xml:space="preserve">Figure </w:t>
      </w:r>
      <w:fldSimple w:instr=" SEQ Figure \* ARABIC ">
        <w:r w:rsidR="00490A12">
          <w:rPr>
            <w:noProof/>
          </w:rPr>
          <w:t>1</w:t>
        </w:r>
      </w:fldSimple>
      <w:r>
        <w:t xml:space="preserve">. Frameworks for Demand </w:t>
      </w:r>
      <w:r w:rsidR="005A566E">
        <w:t>Forecasting</w:t>
      </w:r>
      <w:r>
        <w:t xml:space="preserve">. Recent advances in marketing use latent features from image data to improve demand </w:t>
      </w:r>
      <w:r w:rsidR="005A566E">
        <w:t>forecasting</w:t>
      </w:r>
      <w:r>
        <w:t xml:space="preserve">. Neuroforecasting uses neural activity from the point of stimulus observation to improve demand </w:t>
      </w:r>
      <w:r w:rsidR="005A566E">
        <w:t>forecasting</w:t>
      </w:r>
      <w:r>
        <w:t>. We propose using latent features to understand neural activity. Coupled with generative AI and advancements in feature disentanglement, this gives us a means to interpret visual features that drive neural activity and consumer demand</w:t>
      </w:r>
      <w:r w:rsidR="000E43BF">
        <w:t>.</w:t>
      </w:r>
      <w:r w:rsidR="005A566E">
        <w:t xml:space="preserve"> </w:t>
      </w:r>
    </w:p>
    <w:p w14:paraId="2CC3CC60" w14:textId="77777777" w:rsidR="00170518" w:rsidRDefault="00170518" w:rsidP="009014A5">
      <w:pPr>
        <w:jc w:val="both"/>
      </w:pPr>
    </w:p>
    <w:p w14:paraId="15B29EF2" w14:textId="099BE6FD" w:rsidR="006A64AC" w:rsidRPr="005D6666" w:rsidRDefault="00F14BC1" w:rsidP="009014A5">
      <w:pPr>
        <w:pStyle w:val="Heading1"/>
        <w:jc w:val="both"/>
        <w:rPr>
          <w:rFonts w:ascii="Arial" w:hAnsi="Arial" w:cs="Arial"/>
        </w:rPr>
      </w:pPr>
      <w:r>
        <w:rPr>
          <w:rFonts w:ascii="Arial" w:hAnsi="Arial" w:cs="Arial"/>
        </w:rPr>
        <w:t>Part</w:t>
      </w:r>
      <w:r w:rsidR="003C4124">
        <w:rPr>
          <w:rFonts w:ascii="Arial" w:hAnsi="Arial" w:cs="Arial"/>
        </w:rPr>
        <w:t xml:space="preserve"> 1:</w:t>
      </w:r>
      <w:r>
        <w:rPr>
          <w:rFonts w:ascii="Arial" w:hAnsi="Arial" w:cs="Arial"/>
        </w:rPr>
        <w:t xml:space="preserve"> Using Generative Machine Learning to Identify Psychological Features of an Image </w:t>
      </w:r>
    </w:p>
    <w:p w14:paraId="757A0881" w14:textId="77777777" w:rsidR="00B90517" w:rsidRDefault="00B90517" w:rsidP="009014A5">
      <w:pPr>
        <w:jc w:val="both"/>
      </w:pPr>
    </w:p>
    <w:p w14:paraId="715B14CB" w14:textId="5701D1F7" w:rsidR="003B206F" w:rsidRPr="003B206F" w:rsidRDefault="003B206F" w:rsidP="009014A5">
      <w:pPr>
        <w:jc w:val="both"/>
      </w:pPr>
      <w:r w:rsidRPr="003B206F">
        <w:t>In the first part of our study, we employ generative artificial intelligence ("generative AI") to decompose an image of a vehicle into a vector of latent features. Through regularization techniques, we isolate the latent features most correlate</w:t>
      </w:r>
      <w:r w:rsidR="003A331B">
        <w:t>d</w:t>
      </w:r>
      <w:r w:rsidRPr="003B206F">
        <w:t xml:space="preserve"> with neural activity in the </w:t>
      </w:r>
      <w:proofErr w:type="spellStart"/>
      <w:r w:rsidRPr="003B206F">
        <w:t>NAcc</w:t>
      </w:r>
      <w:proofErr w:type="spellEnd"/>
      <w:r w:rsidRPr="003B206F">
        <w:t>. By manipulating only one feature at a time and generating new images based on these manipulations ("latent space traversal"), we can ask human participants to describe what is changing across the manipulated images. This process enables us to interpret which visual features of a vehicle are correlated with early affective responses in the brain. Importantly, at this stage, we are not yet relating these visual features to consumer demand.</w:t>
      </w:r>
    </w:p>
    <w:p w14:paraId="09E12031" w14:textId="77777777" w:rsidR="00B90517" w:rsidRPr="005D6666" w:rsidRDefault="00B90517" w:rsidP="009014A5">
      <w:pPr>
        <w:jc w:val="both"/>
      </w:pPr>
    </w:p>
    <w:p w14:paraId="76353F03" w14:textId="2B17BA8C" w:rsidR="00EF3173" w:rsidRPr="005D6666" w:rsidRDefault="00E97A8F" w:rsidP="009014A5">
      <w:pPr>
        <w:pStyle w:val="Heading2"/>
        <w:jc w:val="both"/>
        <w:rPr>
          <w:rFonts w:ascii="Arial" w:hAnsi="Arial" w:cs="Arial"/>
        </w:rPr>
      </w:pPr>
      <w:r w:rsidRPr="005D6666">
        <w:rPr>
          <w:rFonts w:ascii="Arial" w:hAnsi="Arial" w:cs="Arial"/>
        </w:rPr>
        <w:t>Methods</w:t>
      </w:r>
    </w:p>
    <w:p w14:paraId="0291FA2B" w14:textId="77777777" w:rsidR="00EF3173" w:rsidRPr="005D6666" w:rsidRDefault="00EF3173" w:rsidP="009014A5">
      <w:pPr>
        <w:jc w:val="both"/>
      </w:pPr>
    </w:p>
    <w:p w14:paraId="17733A1D" w14:textId="40E706FC" w:rsidR="00EF3173" w:rsidRDefault="00496351" w:rsidP="009014A5">
      <w:pPr>
        <w:jc w:val="both"/>
      </w:pPr>
      <w:r>
        <w:rPr>
          <w:i/>
          <w:iCs/>
        </w:rPr>
        <w:t>Experiment</w:t>
      </w:r>
      <w:r w:rsidR="00EF3173" w:rsidRPr="00B90517">
        <w:rPr>
          <w:i/>
          <w:iCs/>
        </w:rPr>
        <w:t xml:space="preserve"> and Participants</w:t>
      </w:r>
      <w:r w:rsidR="00B90517" w:rsidRPr="00B90517">
        <w:rPr>
          <w:i/>
          <w:iCs/>
        </w:rPr>
        <w:t xml:space="preserve">. </w:t>
      </w:r>
      <w:r w:rsidR="003B206F" w:rsidRPr="003B206F">
        <w:t xml:space="preserve">We reuse two fMRI datasets that measured neural activity in the </w:t>
      </w:r>
      <w:proofErr w:type="spellStart"/>
      <w:r w:rsidR="003B206F" w:rsidRPr="003B206F">
        <w:t>NAcc</w:t>
      </w:r>
      <w:proofErr w:type="spellEnd"/>
      <w:r w:rsidR="003B206F" w:rsidRPr="003B206F">
        <w:t xml:space="preserve"> in response to viewing vehicle images and names</w:t>
      </w:r>
      <w:r w:rsidR="00690296">
        <w:t xml:space="preserve"> (</w:t>
      </w:r>
      <w:r w:rsidR="00690296">
        <w:fldChar w:fldCharType="begin"/>
      </w:r>
      <w:r w:rsidR="0092215C">
        <w:instrText xml:space="preserve"> ADDIN ZOTERO_ITEM CSL_CITATION {"citationID":"rk2w4Qfz","properties":{"formattedCitation":"(Christiano et al. 2025)","plainCitation":"(Christiano et al. 2025)","dontUpdate":true,"noteIndex":0},"citationItems":[{"id":8127,"uris":["http://zotero.org/users/8933003/items/GEAD7MI3"],"itemData":{"id":8127,"type":"manuscript","language":"en","title":"Neuroforecasting Changes in Aggregate Demand for Vehicles","author":[{"family":"Christiano","given":"Dylan"},{"family":"Wu","given":"Cynthia"},{"family":"Deng","given":"Nicole"},{"family":"Hakimi","given":"Shabnam"},{"family":"Klenk","given":"Matthew"},{"family":"Wu","given":"Charlene"},{"family":"Knutson","given":"Brian"}],"issued":{"date-parts":[["2025"]]}}}],"schema":"https://github.com/citation-style-language/schema/raw/master/csl-citation.json"} </w:instrText>
      </w:r>
      <w:r w:rsidR="00690296">
        <w:fldChar w:fldCharType="separate"/>
      </w:r>
      <w:r w:rsidR="00690296">
        <w:rPr>
          <w:noProof/>
        </w:rPr>
        <w:t>Christiano et al. 2025)</w:t>
      </w:r>
      <w:r w:rsidR="00690296">
        <w:fldChar w:fldCharType="end"/>
      </w:r>
      <w:r w:rsidR="00690296">
        <w:t xml:space="preserve">. </w:t>
      </w:r>
      <w:r w:rsidR="003B206F" w:rsidRPr="003B206F">
        <w:t xml:space="preserve">The dataset includes 45 participants </w:t>
      </w:r>
      <w:r w:rsidR="000E43BF">
        <w:t xml:space="preserve">from around the Stanford University community </w:t>
      </w:r>
      <w:r w:rsidR="003B206F" w:rsidRPr="003B206F">
        <w:t>who all self-reported an intention to purchase a car within the next three years. Participants</w:t>
      </w:r>
      <w:r w:rsidR="000E43BF">
        <w:t xml:space="preserve"> </w:t>
      </w:r>
      <w:r w:rsidR="003B206F" w:rsidRPr="003B206F">
        <w:t xml:space="preserve">viewed a total of 38 unique vehicle images while in an fMRI scanner. For each participant, </w:t>
      </w:r>
      <w:r w:rsidR="000E43BF">
        <w:t xml:space="preserve">the average </w:t>
      </w:r>
      <w:r w:rsidR="003B206F" w:rsidRPr="003B206F">
        <w:t xml:space="preserve">percent change in </w:t>
      </w:r>
      <w:proofErr w:type="spellStart"/>
      <w:r w:rsidR="000E43BF">
        <w:t>NAcc</w:t>
      </w:r>
      <w:proofErr w:type="spellEnd"/>
      <w:r w:rsidR="003B206F" w:rsidRPr="003B206F">
        <w:t xml:space="preserve"> activity</w:t>
      </w:r>
      <w:r w:rsidR="000E43BF">
        <w:t xml:space="preserve"> was measured 8 seconds after </w:t>
      </w:r>
      <w:r w:rsidR="003B206F" w:rsidRPr="003B206F">
        <w:t xml:space="preserve">a vehicle image was </w:t>
      </w:r>
      <w:r w:rsidR="000E43BF">
        <w:t>presented</w:t>
      </w:r>
      <w:r w:rsidR="009D2C55">
        <w:t xml:space="preserve">. </w:t>
      </w:r>
      <w:r w:rsidR="003B206F" w:rsidRPr="003B206F">
        <w:t>For each unique vehicle, neural activity was then averaged across participants to obtain a measure of average neural response.</w:t>
      </w:r>
    </w:p>
    <w:p w14:paraId="1DE70E5F" w14:textId="77777777" w:rsidR="00496351" w:rsidRDefault="00496351" w:rsidP="009014A5">
      <w:pPr>
        <w:jc w:val="both"/>
      </w:pPr>
    </w:p>
    <w:p w14:paraId="0B93EBB9" w14:textId="44955AEB" w:rsidR="00496351" w:rsidRDefault="00496351" w:rsidP="009014A5">
      <w:pPr>
        <w:jc w:val="both"/>
      </w:pPr>
      <w:r>
        <w:rPr>
          <w:i/>
          <w:iCs/>
        </w:rPr>
        <w:t xml:space="preserve">Procedure. </w:t>
      </w:r>
      <w:r>
        <w:t xml:space="preserve">We </w:t>
      </w:r>
      <w:r w:rsidR="009014A5">
        <w:t>use</w:t>
      </w:r>
      <w:r>
        <w:t xml:space="preserve"> an Adversarial Latent Autoencoder</w:t>
      </w:r>
      <w:r w:rsidR="005B062A">
        <w:t>,</w:t>
      </w:r>
      <w:r>
        <w:t xml:space="preserve"> </w:t>
      </w:r>
      <w:r w:rsidR="005B062A">
        <w:t xml:space="preserve">called </w:t>
      </w:r>
      <w:proofErr w:type="spellStart"/>
      <w:r>
        <w:t>StyleALAE</w:t>
      </w:r>
      <w:proofErr w:type="spellEnd"/>
      <w:r w:rsidR="0092215C">
        <w:t xml:space="preserve">, for its ability to reconstruct images, learn </w:t>
      </w:r>
      <w:r w:rsidR="009014A5">
        <w:t>a meaningful</w:t>
      </w:r>
      <w:r w:rsidR="0092215C">
        <w:t xml:space="preserve"> latent space, and ensure </w:t>
      </w:r>
      <w:r w:rsidR="009014A5">
        <w:t xml:space="preserve">disentangled </w:t>
      </w:r>
      <w:r w:rsidR="0092215C">
        <w:t xml:space="preserve">latent </w:t>
      </w:r>
      <w:r w:rsidR="0092215C">
        <w:lastRenderedPageBreak/>
        <w:t xml:space="preserve">features </w:t>
      </w:r>
      <w:r w:rsidR="0092215C">
        <w:fldChar w:fldCharType="begin"/>
      </w:r>
      <w:r w:rsidR="0092215C">
        <w:instrText xml:space="preserve"> ADDIN ZOTERO_ITEM CSL_CITATION {"citationID":"8GEpoVVL","properties":{"formattedCitation":"(Pidhorskyi, Adjeroh, and Doretto 2020)","plainCitation":"(Pidhorskyi, Adjeroh, and Doretto 2020)","noteIndex":0},"citationItems":[{"id":7047,"uris":["http://zotero.org/users/8933003/items/9CD4GDE3"],"itemData":{"id":7047,"type":"article","abstract":"Autoencoder networks are unsupervised approaches aiming at combining generative and representational properties by learning simultaneously an encoder-generator map. Although studied extensively, the issues of whether they have the same generative power of GANs, or learn disentangled representations, have not been fully addressed. We introduce an autoencoder that tackles these issues jointly, which we call Adversarial Latent Autoencoder (ALAE). It is a general architecture that can leverage recent improvements on GAN training procedures. We designed two autoencoders: one based on a MLP encoder, and another based on a StyleGAN generator, which we call StyleALAE. We verify the disentanglement properties of both architectures. We show that StyleALAE can not only generate 1024x1024 face images with comparable quality of StyleGAN, but at the same resolution can also produce face reconstructions and manipulations based on real images. This makes ALAE the first autoencoder able to compare with, and go beyond the capabilities of a generator-only type of architecture.","DOI":"10.48550/arXiv.2004.04467","language":"en","note":"arXiv:2004.04467 [cs]","number":"arXiv:2004.04467","publisher":"arXiv","source":"arXiv.org","title":"Adversarial latent autoencoders","URL":"http://arxiv.org/abs/2004.04467","author":[{"family":"Pidhorskyi","given":"Stanislav"},{"family":"Adjeroh","given":"Donald"},{"family":"Doretto","given":"Gianfranco"}],"accessed":{"date-parts":[["2025",2,5]]},"issued":{"date-parts":[["2020",4,9]]}}}],"schema":"https://github.com/citation-style-language/schema/raw/master/csl-citation.json"} </w:instrText>
      </w:r>
      <w:r w:rsidR="0092215C">
        <w:fldChar w:fldCharType="separate"/>
      </w:r>
      <w:r w:rsidR="0092215C">
        <w:rPr>
          <w:noProof/>
        </w:rPr>
        <w:t>(Pidhorskyi, Adjeroh, and Doretto 2020)</w:t>
      </w:r>
      <w:r w:rsidR="0092215C">
        <w:fldChar w:fldCharType="end"/>
      </w:r>
      <w:r>
        <w:t xml:space="preserve">. </w:t>
      </w:r>
      <w:r w:rsidR="009014A5" w:rsidRPr="009014A5">
        <w:t xml:space="preserve">The model is trained on 133,372 images of North American </w:t>
      </w:r>
      <w:r w:rsidR="000E43BF" w:rsidRPr="009014A5">
        <w:t>gas- and electric-powered</w:t>
      </w:r>
      <w:r w:rsidR="000E43BF" w:rsidRPr="009014A5">
        <w:t xml:space="preserve"> </w:t>
      </w:r>
      <w:r w:rsidR="009014A5" w:rsidRPr="009014A5">
        <w:t>vehicles from 2000 to 2025</w:t>
      </w:r>
      <w:r w:rsidR="000E43BF">
        <w:t>.</w:t>
      </w:r>
    </w:p>
    <w:p w14:paraId="1A3BA1D8" w14:textId="77777777" w:rsidR="00496351" w:rsidRDefault="00496351" w:rsidP="009014A5">
      <w:pPr>
        <w:jc w:val="both"/>
      </w:pPr>
    </w:p>
    <w:p w14:paraId="52010FB9" w14:textId="6C632698" w:rsidR="009014A5" w:rsidRPr="009014A5" w:rsidRDefault="009014A5" w:rsidP="009014A5">
      <w:pPr>
        <w:jc w:val="both"/>
      </w:pPr>
      <w:r w:rsidRPr="009014A5">
        <w:t xml:space="preserve">Once trained, the </w:t>
      </w:r>
      <w:r w:rsidR="000E43BF">
        <w:t xml:space="preserve">model’s </w:t>
      </w:r>
      <w:r w:rsidRPr="009014A5">
        <w:t>encoder outputs a vector of latent features for any given image. These feature values lack human-interpretab</w:t>
      </w:r>
      <w:r w:rsidR="000E43BF">
        <w:t>ility</w:t>
      </w:r>
      <w:r w:rsidRPr="009014A5">
        <w:t xml:space="preserve"> at first. To determine their significance, we run a regularized regression of average neural activity for each vehicle on its latent features, identifying those that best explain neural responses.</w:t>
      </w:r>
    </w:p>
    <w:p w14:paraId="754AD7E3" w14:textId="77777777" w:rsidR="00AE6FF9" w:rsidRDefault="00AE6FF9" w:rsidP="009014A5">
      <w:pPr>
        <w:jc w:val="both"/>
      </w:pPr>
    </w:p>
    <w:p w14:paraId="3DDA3A1B" w14:textId="74A8A9E3" w:rsidR="006A64AC" w:rsidRDefault="009014A5" w:rsidP="009014A5">
      <w:pPr>
        <w:jc w:val="both"/>
      </w:pPr>
      <w:r w:rsidRPr="009014A5">
        <w:t>Using "latent space traversal," we interpret these features by generating new images that manipulate a single feature at a time</w:t>
      </w:r>
      <w:r>
        <w:t xml:space="preserve"> (s</w:t>
      </w:r>
      <w:r w:rsidR="006F32C1">
        <w:t>ee Figure 2</w:t>
      </w:r>
      <w:r>
        <w:t>).</w:t>
      </w:r>
      <w:r w:rsidR="00AE6FF9">
        <w:t xml:space="preserve"> </w:t>
      </w:r>
      <w:r w:rsidR="000E43BF">
        <w:t>W</w:t>
      </w:r>
      <w:r w:rsidRPr="009014A5">
        <w:t>e present manipulated vehicle images to online observers</w:t>
      </w:r>
      <w:r>
        <w:t xml:space="preserve"> </w:t>
      </w:r>
      <w:r w:rsidR="007922D2">
        <w:t xml:space="preserve">(e.g. </w:t>
      </w:r>
      <w:proofErr w:type="spellStart"/>
      <w:r w:rsidR="007922D2">
        <w:t>MTurk</w:t>
      </w:r>
      <w:proofErr w:type="spellEnd"/>
      <w:r w:rsidR="007922D2">
        <w:t xml:space="preserve">) </w:t>
      </w:r>
      <w:r w:rsidRPr="009014A5">
        <w:t>and ask, "What is changing across these images?" This process allows us to assign human-interpretable meaning to the most important visual features driving early affective brain responses.</w:t>
      </w:r>
    </w:p>
    <w:p w14:paraId="1A7B30FF" w14:textId="77777777" w:rsidR="002D5A98" w:rsidRDefault="002D5A98" w:rsidP="009014A5">
      <w:pPr>
        <w:jc w:val="both"/>
      </w:pPr>
    </w:p>
    <w:p w14:paraId="2D7C4E6E" w14:textId="77777777" w:rsidR="002D5A98" w:rsidRDefault="002D5A98" w:rsidP="00AC05F7">
      <w:pPr>
        <w:keepNext/>
        <w:jc w:val="center"/>
      </w:pPr>
      <w:r>
        <w:rPr>
          <w:noProof/>
        </w:rPr>
        <w:drawing>
          <wp:inline distT="0" distB="0" distL="0" distR="0" wp14:anchorId="53ACD95A" wp14:editId="2ADE6618">
            <wp:extent cx="3443468" cy="1239429"/>
            <wp:effectExtent l="0" t="0" r="0" b="5715"/>
            <wp:docPr id="886463310" name="Picture 4" descr="A comparison of a ca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6463310" name="Picture 4" descr="A comparison of a car&#10;&#10;Description automatically generated"/>
                    <pic:cNvPicPr/>
                  </pic:nvPicPr>
                  <pic:blipFill>
                    <a:blip r:embed="rId5" cstate="print">
                      <a:extLst>
                        <a:ext uri="{28A0092B-C50C-407E-A947-70E740481C1C}">
                          <a14:useLocalDpi xmlns:a14="http://schemas.microsoft.com/office/drawing/2010/main" val="0"/>
                        </a:ext>
                      </a:extLst>
                    </a:blip>
                    <a:stretch>
                      <a:fillRect/>
                    </a:stretch>
                  </pic:blipFill>
                  <pic:spPr>
                    <a:xfrm>
                      <a:off x="0" y="0"/>
                      <a:ext cx="3514993" cy="1265173"/>
                    </a:xfrm>
                    <a:prstGeom prst="rect">
                      <a:avLst/>
                    </a:prstGeom>
                  </pic:spPr>
                </pic:pic>
              </a:graphicData>
            </a:graphic>
          </wp:inline>
        </w:drawing>
      </w:r>
    </w:p>
    <w:p w14:paraId="7C75D30F" w14:textId="655BF7FA" w:rsidR="002D5A98" w:rsidRDefault="002D5A98" w:rsidP="009014A5">
      <w:pPr>
        <w:pStyle w:val="Caption"/>
        <w:jc w:val="both"/>
      </w:pPr>
      <w:r>
        <w:t xml:space="preserve">Figure </w:t>
      </w:r>
      <w:fldSimple w:instr=" SEQ Figure \* ARABIC ">
        <w:r w:rsidR="00490A12">
          <w:rPr>
            <w:noProof/>
          </w:rPr>
          <w:t>2</w:t>
        </w:r>
      </w:fldSimple>
      <w:r>
        <w:t xml:space="preserve">. Example of latent space traversal. (Left) A generated image of a car. (Right) </w:t>
      </w:r>
      <w:r w:rsidR="00490A12">
        <w:t>A manipulated image where we adjust the “metallic shine” of the vehicle.</w:t>
      </w:r>
    </w:p>
    <w:p w14:paraId="0A5CB56F" w14:textId="77777777" w:rsidR="00884026" w:rsidRPr="005D6666" w:rsidRDefault="00884026" w:rsidP="009014A5">
      <w:pPr>
        <w:jc w:val="both"/>
      </w:pPr>
    </w:p>
    <w:p w14:paraId="62CA0B7F" w14:textId="1B4EF64F" w:rsidR="006A64AC" w:rsidRPr="005D6666" w:rsidRDefault="00C976D0" w:rsidP="009014A5">
      <w:pPr>
        <w:pStyle w:val="Heading1"/>
        <w:jc w:val="both"/>
        <w:rPr>
          <w:rFonts w:ascii="Arial" w:hAnsi="Arial" w:cs="Arial"/>
        </w:rPr>
      </w:pPr>
      <w:r>
        <w:rPr>
          <w:rFonts w:ascii="Arial" w:hAnsi="Arial" w:cs="Arial"/>
        </w:rPr>
        <w:t>Part</w:t>
      </w:r>
      <w:r w:rsidR="00A315F9" w:rsidRPr="005D6666">
        <w:rPr>
          <w:rFonts w:ascii="Arial" w:hAnsi="Arial" w:cs="Arial"/>
        </w:rPr>
        <w:t xml:space="preserve"> 2: Using </w:t>
      </w:r>
      <w:r>
        <w:rPr>
          <w:rFonts w:ascii="Arial" w:hAnsi="Arial" w:cs="Arial"/>
        </w:rPr>
        <w:t>Identified Psychological Features to Design Survey Questions</w:t>
      </w:r>
    </w:p>
    <w:p w14:paraId="5136E1A7" w14:textId="77777777" w:rsidR="00A315F9" w:rsidRDefault="00A315F9" w:rsidP="009014A5">
      <w:pPr>
        <w:jc w:val="both"/>
      </w:pPr>
    </w:p>
    <w:p w14:paraId="5821B11A" w14:textId="4E57EC58" w:rsidR="00EF3173" w:rsidRPr="005D6666" w:rsidRDefault="009014A5" w:rsidP="009014A5">
      <w:pPr>
        <w:jc w:val="both"/>
      </w:pPr>
      <w:r w:rsidRPr="009014A5">
        <w:t xml:space="preserve">Having identified the visual features most correlated with neural activity in early affective brain regions, we leverage these insights to design improved survey questions. Rather than relying on traditional stated-preference questions that ask consumers about hypothetical purchasing decisions, we focus on targeted judgments of visual features that drive neural activity in the </w:t>
      </w:r>
      <w:proofErr w:type="spellStart"/>
      <w:r w:rsidRPr="009014A5">
        <w:t>NAcc</w:t>
      </w:r>
      <w:proofErr w:type="spellEnd"/>
      <w:r w:rsidRPr="009014A5">
        <w:t>. By shifting survey design toward attributes that reflect common components of utility, we hypothesize that responses will align more closely with actual market behavior.</w:t>
      </w:r>
      <w:r w:rsidR="002D5A98">
        <w:t xml:space="preserve"> </w:t>
      </w:r>
    </w:p>
    <w:p w14:paraId="7DD28FD1" w14:textId="300A3298" w:rsidR="00995FD9" w:rsidRDefault="00FC1D6F" w:rsidP="009014A5">
      <w:pPr>
        <w:pStyle w:val="Heading1"/>
        <w:jc w:val="both"/>
        <w:rPr>
          <w:rFonts w:ascii="Arial" w:hAnsi="Arial" w:cs="Arial"/>
        </w:rPr>
      </w:pPr>
      <w:r>
        <w:rPr>
          <w:rFonts w:ascii="Arial" w:hAnsi="Arial" w:cs="Arial"/>
        </w:rPr>
        <w:t>Discussion</w:t>
      </w:r>
    </w:p>
    <w:p w14:paraId="62A518EA" w14:textId="77777777" w:rsidR="00FC1D6F" w:rsidRDefault="00FC1D6F" w:rsidP="009014A5">
      <w:pPr>
        <w:jc w:val="both"/>
      </w:pPr>
    </w:p>
    <w:p w14:paraId="28595E99" w14:textId="1445152E" w:rsidR="00AC05F7" w:rsidRDefault="00AC05F7" w:rsidP="00AC05F7">
      <w:pPr>
        <w:jc w:val="both"/>
      </w:pPr>
      <w:r w:rsidRPr="00EB0E90">
        <w:t xml:space="preserve">By bridging insights from machine learning, neuroscience, and </w:t>
      </w:r>
      <w:r>
        <w:t>marketing</w:t>
      </w:r>
      <w:r w:rsidRPr="00EB0E90">
        <w:t xml:space="preserve">, our study contributes to both </w:t>
      </w:r>
      <w:r w:rsidRPr="009014A5">
        <w:t>theoretical understanding and practical application in demand forecasting</w:t>
      </w:r>
      <w:r w:rsidRPr="00EB0E90">
        <w:t xml:space="preserve">. Understanding why image data and neural activity enhance demand estimation allows for more interpretable and generalizable predictive models. Moreover, by </w:t>
      </w:r>
      <w:r>
        <w:t>using neural data to identify</w:t>
      </w:r>
      <w:r w:rsidRPr="00EB0E90">
        <w:t xml:space="preserve"> </w:t>
      </w:r>
      <w:r>
        <w:t>visual features</w:t>
      </w:r>
      <w:r w:rsidRPr="00EB0E90">
        <w:t xml:space="preserve"> that </w:t>
      </w:r>
      <w:r>
        <w:t>shape</w:t>
      </w:r>
      <w:r w:rsidRPr="00EB0E90">
        <w:t xml:space="preserve"> consumer choice, we </w:t>
      </w:r>
      <w:r>
        <w:t>introduce</w:t>
      </w:r>
      <w:r w:rsidRPr="00EB0E90">
        <w:t xml:space="preserve"> </w:t>
      </w:r>
      <w:r>
        <w:lastRenderedPageBreak/>
        <w:t>novel improvements to</w:t>
      </w:r>
      <w:r w:rsidRPr="00EB0E90">
        <w:t xml:space="preserve"> stated preference methods, leading to better market predictions for businesses and policymakers.</w:t>
      </w:r>
      <w:r>
        <w:t xml:space="preserve"> </w:t>
      </w:r>
    </w:p>
    <w:p w14:paraId="00172ED3" w14:textId="77777777" w:rsidR="00AC05F7" w:rsidRPr="009014A5" w:rsidRDefault="00AC05F7" w:rsidP="009014A5">
      <w:pPr>
        <w:jc w:val="both"/>
      </w:pPr>
    </w:p>
    <w:p w14:paraId="218C75C9" w14:textId="06B4A36B" w:rsidR="00B54642" w:rsidRDefault="009014A5" w:rsidP="009014A5">
      <w:pPr>
        <w:jc w:val="both"/>
      </w:pPr>
      <w:r w:rsidRPr="009014A5">
        <w:t>Beyond improved prediction and model interpretability, our framework offers significant efficiency gains. Since our machine learning model requires training only once, it could eliminate the need for multiple fMRI studies in demand forecasting within a given industry—though applicability may be limited by time-sensitive trends. Once established, our model can quickly generate demand forecasts for new products, reducing both research costs and time-to-market.</w:t>
      </w:r>
      <w:r w:rsidR="003A331B">
        <w:t xml:space="preserve"> Finally, this research will provide insight into the role of neural data in explaining choice data, providing an interpretation for measurements of our shared utility.</w:t>
      </w:r>
      <w:r w:rsidR="000424E3">
        <w:br w:type="page"/>
      </w:r>
    </w:p>
    <w:p w14:paraId="566DDEC7" w14:textId="0580CEDA" w:rsidR="006B4A75" w:rsidRDefault="006B4A75" w:rsidP="006B4A75">
      <w:pPr>
        <w:pStyle w:val="Heading1"/>
      </w:pPr>
      <w:r>
        <w:lastRenderedPageBreak/>
        <w:t>References</w:t>
      </w:r>
    </w:p>
    <w:p w14:paraId="72B3D553" w14:textId="77777777" w:rsidR="00FB3175" w:rsidRPr="00FB3175" w:rsidRDefault="00B54642" w:rsidP="00FB3175">
      <w:pPr>
        <w:pStyle w:val="Bibliography"/>
      </w:pPr>
      <w:r>
        <w:fldChar w:fldCharType="begin"/>
      </w:r>
      <w:r>
        <w:instrText xml:space="preserve"> ADDIN ZOTERO_BIBL {"uncited":[],"omitted":[],"custom":[]} CSL_BIBLIOGRAPHY </w:instrText>
      </w:r>
      <w:r>
        <w:fldChar w:fldCharType="separate"/>
      </w:r>
      <w:proofErr w:type="spellStart"/>
      <w:r w:rsidR="00FB3175" w:rsidRPr="00FB3175">
        <w:t>Burnap</w:t>
      </w:r>
      <w:proofErr w:type="spellEnd"/>
      <w:r w:rsidR="00FB3175" w:rsidRPr="00FB3175">
        <w:t xml:space="preserve">, Alex, John R. Hauser, and Artem Timoshenko (2023), “Product Aesthetic Design: A Machine Learning Augmentation,” </w:t>
      </w:r>
      <w:r w:rsidR="00FB3175" w:rsidRPr="00FB3175">
        <w:rPr>
          <w:i/>
          <w:iCs/>
        </w:rPr>
        <w:t>Marketing Science</w:t>
      </w:r>
      <w:r w:rsidR="00FB3175" w:rsidRPr="00FB3175">
        <w:t>, 42(6), 1029–56.</w:t>
      </w:r>
    </w:p>
    <w:p w14:paraId="780BC896" w14:textId="77777777" w:rsidR="00FB3175" w:rsidRPr="00FB3175" w:rsidRDefault="00FB3175" w:rsidP="00FB3175">
      <w:pPr>
        <w:pStyle w:val="Bibliography"/>
      </w:pPr>
      <w:proofErr w:type="spellStart"/>
      <w:r w:rsidRPr="00FB3175">
        <w:t>Christiano</w:t>
      </w:r>
      <w:proofErr w:type="spellEnd"/>
      <w:r w:rsidRPr="00FB3175">
        <w:t xml:space="preserve">, Dylan, Cynthia Wu, Nicole Deng, Shabnam Hakimi, Matthew </w:t>
      </w:r>
      <w:proofErr w:type="spellStart"/>
      <w:r w:rsidRPr="00FB3175">
        <w:t>Klenk</w:t>
      </w:r>
      <w:proofErr w:type="spellEnd"/>
      <w:r w:rsidRPr="00FB3175">
        <w:t>, Charlene Wu, and Brian Knutson (2025), “Neuroforecasting Changes in Aggregate Demand for Vehicles.”</w:t>
      </w:r>
    </w:p>
    <w:p w14:paraId="771B1C66" w14:textId="77777777" w:rsidR="00FB3175" w:rsidRPr="00FB3175" w:rsidRDefault="00FB3175" w:rsidP="00FB3175">
      <w:pPr>
        <w:pStyle w:val="Bibliography"/>
      </w:pPr>
      <w:proofErr w:type="spellStart"/>
      <w:r w:rsidRPr="00FB3175">
        <w:t>Genevsky</w:t>
      </w:r>
      <w:proofErr w:type="spellEnd"/>
      <w:r w:rsidRPr="00FB3175">
        <w:t xml:space="preserve">, Alexander and Brian Knutson (2015), “Neural Affective Mechanisms Predict Market-Level Microlending,” </w:t>
      </w:r>
      <w:r w:rsidRPr="00FB3175">
        <w:rPr>
          <w:i/>
          <w:iCs/>
        </w:rPr>
        <w:t>Psychological Science</w:t>
      </w:r>
      <w:r w:rsidRPr="00FB3175">
        <w:t>, 26(9), 1411–22.</w:t>
      </w:r>
    </w:p>
    <w:p w14:paraId="661D6346" w14:textId="77777777" w:rsidR="00FB3175" w:rsidRPr="00FB3175" w:rsidRDefault="00FB3175" w:rsidP="00FB3175">
      <w:pPr>
        <w:pStyle w:val="Bibliography"/>
      </w:pPr>
      <w:proofErr w:type="spellStart"/>
      <w:r w:rsidRPr="00FB3175">
        <w:t>Genevsky</w:t>
      </w:r>
      <w:proofErr w:type="spellEnd"/>
      <w:r w:rsidRPr="00FB3175">
        <w:t xml:space="preserve">, Alexander, Lester C Tong, and Brian Knutson (2025), “Neuroforecasting Reveals Generalizable Components of Choice,” ed. Yannis Yortsos, </w:t>
      </w:r>
      <w:proofErr w:type="spellStart"/>
      <w:r w:rsidRPr="00FB3175">
        <w:rPr>
          <w:i/>
          <w:iCs/>
        </w:rPr>
        <w:t>Pnas</w:t>
      </w:r>
      <w:proofErr w:type="spellEnd"/>
      <w:r w:rsidRPr="00FB3175">
        <w:rPr>
          <w:i/>
          <w:iCs/>
        </w:rPr>
        <w:t xml:space="preserve"> Nexus</w:t>
      </w:r>
      <w:r w:rsidRPr="00FB3175">
        <w:t>, 4(2), pgaf029.</w:t>
      </w:r>
    </w:p>
    <w:p w14:paraId="107655C4" w14:textId="77777777" w:rsidR="00FB3175" w:rsidRPr="00FB3175" w:rsidRDefault="00FB3175" w:rsidP="00FB3175">
      <w:pPr>
        <w:pStyle w:val="Bibliography"/>
      </w:pPr>
      <w:r w:rsidRPr="00FB3175">
        <w:t xml:space="preserve">Ludwig, Jens and </w:t>
      </w:r>
      <w:proofErr w:type="spellStart"/>
      <w:r w:rsidRPr="00FB3175">
        <w:t>Sendhil</w:t>
      </w:r>
      <w:proofErr w:type="spellEnd"/>
      <w:r w:rsidRPr="00FB3175">
        <w:t xml:space="preserve"> Mullainathan (2024), “Machine Learning as a Tool for Hypothesis Generation,” </w:t>
      </w:r>
      <w:r w:rsidRPr="00FB3175">
        <w:rPr>
          <w:i/>
          <w:iCs/>
        </w:rPr>
        <w:t>The Quarterly Journal of Economics</w:t>
      </w:r>
      <w:r w:rsidRPr="00FB3175">
        <w:t>, 139(2), 751–827.</w:t>
      </w:r>
    </w:p>
    <w:p w14:paraId="26C4F1CF" w14:textId="77777777" w:rsidR="00FB3175" w:rsidRPr="00FB3175" w:rsidRDefault="00FB3175" w:rsidP="00FB3175">
      <w:pPr>
        <w:pStyle w:val="Bibliography"/>
      </w:pPr>
      <w:proofErr w:type="spellStart"/>
      <w:r w:rsidRPr="00FB3175">
        <w:t>Pidhorskyi</w:t>
      </w:r>
      <w:proofErr w:type="spellEnd"/>
      <w:r w:rsidRPr="00FB3175">
        <w:t xml:space="preserve">, Stanislav, Donald </w:t>
      </w:r>
      <w:proofErr w:type="spellStart"/>
      <w:r w:rsidRPr="00FB3175">
        <w:t>Adjeroh</w:t>
      </w:r>
      <w:proofErr w:type="spellEnd"/>
      <w:r w:rsidRPr="00FB3175">
        <w:t xml:space="preserve">, and Gianfranco </w:t>
      </w:r>
      <w:proofErr w:type="spellStart"/>
      <w:r w:rsidRPr="00FB3175">
        <w:t>Doretto</w:t>
      </w:r>
      <w:proofErr w:type="spellEnd"/>
      <w:r w:rsidRPr="00FB3175">
        <w:t xml:space="preserve"> (2020), “Adversarial Latent Autoencoders,” http://arxiv.org/abs/2004.04467.</w:t>
      </w:r>
    </w:p>
    <w:p w14:paraId="6C7D4F1D" w14:textId="77777777" w:rsidR="00FB3175" w:rsidRPr="00FB3175" w:rsidRDefault="00FB3175" w:rsidP="00FB3175">
      <w:pPr>
        <w:pStyle w:val="Bibliography"/>
      </w:pPr>
      <w:proofErr w:type="spellStart"/>
      <w:r w:rsidRPr="00FB3175">
        <w:t>Poldrack</w:t>
      </w:r>
      <w:proofErr w:type="spellEnd"/>
      <w:r w:rsidRPr="00FB3175">
        <w:t xml:space="preserve">, Russell A. (2006), “Can Cognitive Processes Be Inferred from Neuroimaging </w:t>
      </w:r>
      <w:proofErr w:type="gramStart"/>
      <w:r w:rsidRPr="00FB3175">
        <w:t>Data?,</w:t>
      </w:r>
      <w:proofErr w:type="gramEnd"/>
      <w:r w:rsidRPr="00FB3175">
        <w:t xml:space="preserve">” </w:t>
      </w:r>
      <w:r w:rsidRPr="00FB3175">
        <w:rPr>
          <w:i/>
          <w:iCs/>
        </w:rPr>
        <w:t>Trends in Cognitive Sciences</w:t>
      </w:r>
      <w:r w:rsidRPr="00FB3175">
        <w:t>, 10(2), 59–63.</w:t>
      </w:r>
    </w:p>
    <w:p w14:paraId="1E50FF3A" w14:textId="77777777" w:rsidR="00FB3175" w:rsidRPr="00FB3175" w:rsidRDefault="00FB3175" w:rsidP="00FB3175">
      <w:pPr>
        <w:pStyle w:val="Bibliography"/>
      </w:pPr>
      <w:r w:rsidRPr="00FB3175">
        <w:t xml:space="preserve">Sisodia, Ankit, Alex </w:t>
      </w:r>
      <w:proofErr w:type="spellStart"/>
      <w:r w:rsidRPr="00FB3175">
        <w:t>Burnap</w:t>
      </w:r>
      <w:proofErr w:type="spellEnd"/>
      <w:r w:rsidRPr="00FB3175">
        <w:t>, and Vineet Kumar (2024), “Generative Interpretable Visual Design: Using Disentanglement for Visual Conjoint Analysis,” https://papers.ssrn.com/abstract=4151019.</w:t>
      </w:r>
    </w:p>
    <w:p w14:paraId="245C18EE" w14:textId="77777777" w:rsidR="00FB3175" w:rsidRPr="00FB3175" w:rsidRDefault="00FB3175" w:rsidP="00FB3175">
      <w:pPr>
        <w:pStyle w:val="Bibliography"/>
      </w:pPr>
      <w:r w:rsidRPr="00FB3175">
        <w:t xml:space="preserve">Tong, Lester C., M. Yavuz </w:t>
      </w:r>
      <w:proofErr w:type="spellStart"/>
      <w:r w:rsidRPr="00FB3175">
        <w:t>Acikalin</w:t>
      </w:r>
      <w:proofErr w:type="spellEnd"/>
      <w:r w:rsidRPr="00FB3175">
        <w:t xml:space="preserve">, Alexander </w:t>
      </w:r>
      <w:proofErr w:type="spellStart"/>
      <w:r w:rsidRPr="00FB3175">
        <w:t>Genevsky</w:t>
      </w:r>
      <w:proofErr w:type="spellEnd"/>
      <w:r w:rsidRPr="00FB3175">
        <w:t xml:space="preserve">, Baba Shiv, and Brian Knutson (2020), “Brain Activity Forecasts Video Engagement in an Internet Attention Market,” </w:t>
      </w:r>
      <w:r w:rsidRPr="00FB3175">
        <w:rPr>
          <w:i/>
          <w:iCs/>
        </w:rPr>
        <w:t>Proceedings of the National Academy of Sciences</w:t>
      </w:r>
      <w:r w:rsidRPr="00FB3175">
        <w:t>, 117(12), 6936–41.</w:t>
      </w:r>
    </w:p>
    <w:p w14:paraId="7C353986" w14:textId="77777777" w:rsidR="00FB3175" w:rsidRPr="00FB3175" w:rsidRDefault="00FB3175" w:rsidP="00FB3175">
      <w:pPr>
        <w:pStyle w:val="Bibliography"/>
      </w:pPr>
      <w:r w:rsidRPr="00FB3175">
        <w:t xml:space="preserve">Webb, Ryan (2019), “The (Neural) Dynamics of Stochastic Choice,” </w:t>
      </w:r>
      <w:r w:rsidRPr="00FB3175">
        <w:rPr>
          <w:i/>
          <w:iCs/>
        </w:rPr>
        <w:t>Management Science</w:t>
      </w:r>
      <w:r w:rsidRPr="00FB3175">
        <w:t>, 65(1), 230–55.</w:t>
      </w:r>
    </w:p>
    <w:p w14:paraId="48F017EC" w14:textId="20ECCC6F" w:rsidR="00B54642" w:rsidRPr="00B54642" w:rsidRDefault="00B54642" w:rsidP="00FB3175">
      <w:pPr>
        <w:pStyle w:val="Bibliography"/>
      </w:pPr>
      <w:r>
        <w:fldChar w:fldCharType="end"/>
      </w:r>
    </w:p>
    <w:sectPr w:rsidR="00B54642" w:rsidRPr="00B5464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AFF" w:usb1="C0007843"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5368"/>
    <w:rsid w:val="0000575A"/>
    <w:rsid w:val="000403F8"/>
    <w:rsid w:val="000424E3"/>
    <w:rsid w:val="0008220B"/>
    <w:rsid w:val="000B5539"/>
    <w:rsid w:val="000E43BF"/>
    <w:rsid w:val="00113DF8"/>
    <w:rsid w:val="00120FAE"/>
    <w:rsid w:val="00170518"/>
    <w:rsid w:val="001A5F49"/>
    <w:rsid w:val="001C32CC"/>
    <w:rsid w:val="001F4ABB"/>
    <w:rsid w:val="002429B9"/>
    <w:rsid w:val="00284856"/>
    <w:rsid w:val="00296122"/>
    <w:rsid w:val="002D5A98"/>
    <w:rsid w:val="002E3549"/>
    <w:rsid w:val="002E557A"/>
    <w:rsid w:val="00334C1A"/>
    <w:rsid w:val="003A2AD4"/>
    <w:rsid w:val="003A331B"/>
    <w:rsid w:val="003B206F"/>
    <w:rsid w:val="003C4124"/>
    <w:rsid w:val="003D500E"/>
    <w:rsid w:val="003F0010"/>
    <w:rsid w:val="003F0569"/>
    <w:rsid w:val="00405ACB"/>
    <w:rsid w:val="004127FC"/>
    <w:rsid w:val="0045678F"/>
    <w:rsid w:val="004623E8"/>
    <w:rsid w:val="00490A12"/>
    <w:rsid w:val="00496351"/>
    <w:rsid w:val="004B6139"/>
    <w:rsid w:val="004C52D3"/>
    <w:rsid w:val="00503572"/>
    <w:rsid w:val="00522972"/>
    <w:rsid w:val="005314A0"/>
    <w:rsid w:val="00537CCC"/>
    <w:rsid w:val="005851CA"/>
    <w:rsid w:val="005905F1"/>
    <w:rsid w:val="005A566E"/>
    <w:rsid w:val="005B062A"/>
    <w:rsid w:val="005D6666"/>
    <w:rsid w:val="00621D28"/>
    <w:rsid w:val="00690296"/>
    <w:rsid w:val="006A64AC"/>
    <w:rsid w:val="006B3995"/>
    <w:rsid w:val="006B4A75"/>
    <w:rsid w:val="006C1F42"/>
    <w:rsid w:val="006F11C2"/>
    <w:rsid w:val="006F32C1"/>
    <w:rsid w:val="00707A88"/>
    <w:rsid w:val="007315F8"/>
    <w:rsid w:val="0075446D"/>
    <w:rsid w:val="00791972"/>
    <w:rsid w:val="007922D2"/>
    <w:rsid w:val="007A2037"/>
    <w:rsid w:val="007E4378"/>
    <w:rsid w:val="007E7600"/>
    <w:rsid w:val="00823913"/>
    <w:rsid w:val="00881B4C"/>
    <w:rsid w:val="00884026"/>
    <w:rsid w:val="008A6855"/>
    <w:rsid w:val="008C1AE7"/>
    <w:rsid w:val="009014A5"/>
    <w:rsid w:val="0092215C"/>
    <w:rsid w:val="00927E75"/>
    <w:rsid w:val="00994F8F"/>
    <w:rsid w:val="00995FD9"/>
    <w:rsid w:val="009B7315"/>
    <w:rsid w:val="009D2C55"/>
    <w:rsid w:val="00A05D04"/>
    <w:rsid w:val="00A315F9"/>
    <w:rsid w:val="00A347AA"/>
    <w:rsid w:val="00A43B1F"/>
    <w:rsid w:val="00A51DE5"/>
    <w:rsid w:val="00AC05F7"/>
    <w:rsid w:val="00AE6FF9"/>
    <w:rsid w:val="00B4267D"/>
    <w:rsid w:val="00B52734"/>
    <w:rsid w:val="00B54642"/>
    <w:rsid w:val="00B643A6"/>
    <w:rsid w:val="00B85368"/>
    <w:rsid w:val="00B90517"/>
    <w:rsid w:val="00B91A6A"/>
    <w:rsid w:val="00BC0C8B"/>
    <w:rsid w:val="00BF55F0"/>
    <w:rsid w:val="00C06538"/>
    <w:rsid w:val="00C464CC"/>
    <w:rsid w:val="00C579ED"/>
    <w:rsid w:val="00C57B12"/>
    <w:rsid w:val="00C976D0"/>
    <w:rsid w:val="00C97BEC"/>
    <w:rsid w:val="00CC5566"/>
    <w:rsid w:val="00CC7510"/>
    <w:rsid w:val="00CD1673"/>
    <w:rsid w:val="00D00C46"/>
    <w:rsid w:val="00D10B9D"/>
    <w:rsid w:val="00D733A9"/>
    <w:rsid w:val="00DE42D2"/>
    <w:rsid w:val="00E17D00"/>
    <w:rsid w:val="00E97A8F"/>
    <w:rsid w:val="00EB0E90"/>
    <w:rsid w:val="00EB7471"/>
    <w:rsid w:val="00EC19D8"/>
    <w:rsid w:val="00EC6714"/>
    <w:rsid w:val="00ED42EA"/>
    <w:rsid w:val="00EF3173"/>
    <w:rsid w:val="00F0092F"/>
    <w:rsid w:val="00F14BC1"/>
    <w:rsid w:val="00F238F7"/>
    <w:rsid w:val="00F5352E"/>
    <w:rsid w:val="00F546CE"/>
    <w:rsid w:val="00FB3175"/>
    <w:rsid w:val="00FC1D6F"/>
    <w:rsid w:val="00FF404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91C2D4"/>
  <w15:chartTrackingRefBased/>
  <w15:docId w15:val="{D69B013B-C166-1149-B51F-4404B4CF50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Theme="minorHAnsi" w:hAnsi="Arial" w:cs="Arial"/>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127FC"/>
  </w:style>
  <w:style w:type="paragraph" w:styleId="Heading1">
    <w:name w:val="heading 1"/>
    <w:basedOn w:val="Normal"/>
    <w:next w:val="Normal"/>
    <w:link w:val="Heading1Char"/>
    <w:uiPriority w:val="9"/>
    <w:qFormat/>
    <w:rsid w:val="004127F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127F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127F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127F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127F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127F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127F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127F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127F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127F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127F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127F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127F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127F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127F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127F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127F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127FC"/>
    <w:rPr>
      <w:rFonts w:eastAsiaTheme="majorEastAsia" w:cstheme="majorBidi"/>
      <w:color w:val="272727" w:themeColor="text1" w:themeTint="D8"/>
    </w:rPr>
  </w:style>
  <w:style w:type="paragraph" w:styleId="Title">
    <w:name w:val="Title"/>
    <w:basedOn w:val="Normal"/>
    <w:next w:val="Normal"/>
    <w:link w:val="TitleChar"/>
    <w:uiPriority w:val="10"/>
    <w:qFormat/>
    <w:rsid w:val="004127FC"/>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127F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127FC"/>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127FC"/>
    <w:rPr>
      <w:rFonts w:eastAsiaTheme="majorEastAsia" w:cstheme="majorBidi"/>
      <w:color w:val="595959" w:themeColor="text1" w:themeTint="A6"/>
      <w:spacing w:val="15"/>
      <w:sz w:val="28"/>
      <w:szCs w:val="28"/>
    </w:rPr>
  </w:style>
  <w:style w:type="paragraph" w:styleId="ListParagraph">
    <w:name w:val="List Paragraph"/>
    <w:basedOn w:val="Normal"/>
    <w:uiPriority w:val="34"/>
    <w:qFormat/>
    <w:rsid w:val="004127FC"/>
    <w:pPr>
      <w:ind w:left="720"/>
      <w:contextualSpacing/>
    </w:pPr>
  </w:style>
  <w:style w:type="paragraph" w:styleId="Quote">
    <w:name w:val="Quote"/>
    <w:basedOn w:val="Normal"/>
    <w:next w:val="Normal"/>
    <w:link w:val="QuoteChar"/>
    <w:uiPriority w:val="29"/>
    <w:qFormat/>
    <w:rsid w:val="004127FC"/>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4127FC"/>
    <w:rPr>
      <w:i/>
      <w:iCs/>
      <w:color w:val="404040" w:themeColor="text1" w:themeTint="BF"/>
    </w:rPr>
  </w:style>
  <w:style w:type="paragraph" w:styleId="IntenseQuote">
    <w:name w:val="Intense Quote"/>
    <w:basedOn w:val="Normal"/>
    <w:next w:val="Normal"/>
    <w:link w:val="IntenseQuoteChar"/>
    <w:uiPriority w:val="30"/>
    <w:qFormat/>
    <w:rsid w:val="004127F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127FC"/>
    <w:rPr>
      <w:i/>
      <w:iCs/>
      <w:color w:val="0F4761" w:themeColor="accent1" w:themeShade="BF"/>
    </w:rPr>
  </w:style>
  <w:style w:type="character" w:styleId="IntenseEmphasis">
    <w:name w:val="Intense Emphasis"/>
    <w:basedOn w:val="DefaultParagraphFont"/>
    <w:uiPriority w:val="21"/>
    <w:qFormat/>
    <w:rsid w:val="004127FC"/>
    <w:rPr>
      <w:i/>
      <w:iCs/>
      <w:color w:val="0F4761" w:themeColor="accent1" w:themeShade="BF"/>
    </w:rPr>
  </w:style>
  <w:style w:type="character" w:styleId="IntenseReference">
    <w:name w:val="Intense Reference"/>
    <w:basedOn w:val="DefaultParagraphFont"/>
    <w:uiPriority w:val="32"/>
    <w:qFormat/>
    <w:rsid w:val="004127FC"/>
    <w:rPr>
      <w:b/>
      <w:bCs/>
      <w:smallCaps/>
      <w:color w:val="0F4761" w:themeColor="accent1" w:themeShade="BF"/>
      <w:spacing w:val="5"/>
    </w:rPr>
  </w:style>
  <w:style w:type="paragraph" w:styleId="Bibliography">
    <w:name w:val="Bibliography"/>
    <w:basedOn w:val="Normal"/>
    <w:next w:val="Normal"/>
    <w:uiPriority w:val="37"/>
    <w:unhideWhenUsed/>
    <w:rsid w:val="00B54642"/>
    <w:pPr>
      <w:spacing w:after="240"/>
      <w:ind w:left="720" w:hanging="720"/>
    </w:pPr>
  </w:style>
  <w:style w:type="paragraph" w:styleId="Caption">
    <w:name w:val="caption"/>
    <w:basedOn w:val="Normal"/>
    <w:next w:val="Normal"/>
    <w:uiPriority w:val="35"/>
    <w:unhideWhenUsed/>
    <w:qFormat/>
    <w:rsid w:val="00170518"/>
    <w:pPr>
      <w:spacing w:after="200"/>
    </w:pPr>
    <w:rPr>
      <w:i/>
      <w:iCs/>
      <w:color w:val="0E2841" w:themeColor="text2"/>
      <w:sz w:val="18"/>
      <w:szCs w:val="18"/>
    </w:rPr>
  </w:style>
  <w:style w:type="paragraph" w:styleId="NormalWeb">
    <w:name w:val="Normal (Web)"/>
    <w:basedOn w:val="Normal"/>
    <w:uiPriority w:val="99"/>
    <w:semiHidden/>
    <w:unhideWhenUsed/>
    <w:rsid w:val="008C1AE7"/>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5714566">
      <w:bodyDiv w:val="1"/>
      <w:marLeft w:val="0"/>
      <w:marRight w:val="0"/>
      <w:marTop w:val="0"/>
      <w:marBottom w:val="0"/>
      <w:divBdr>
        <w:top w:val="none" w:sz="0" w:space="0" w:color="auto"/>
        <w:left w:val="none" w:sz="0" w:space="0" w:color="auto"/>
        <w:bottom w:val="none" w:sz="0" w:space="0" w:color="auto"/>
        <w:right w:val="none" w:sz="0" w:space="0" w:color="auto"/>
      </w:divBdr>
    </w:div>
    <w:div w:id="100491080">
      <w:bodyDiv w:val="1"/>
      <w:marLeft w:val="0"/>
      <w:marRight w:val="0"/>
      <w:marTop w:val="0"/>
      <w:marBottom w:val="0"/>
      <w:divBdr>
        <w:top w:val="none" w:sz="0" w:space="0" w:color="auto"/>
        <w:left w:val="none" w:sz="0" w:space="0" w:color="auto"/>
        <w:bottom w:val="none" w:sz="0" w:space="0" w:color="auto"/>
        <w:right w:val="none" w:sz="0" w:space="0" w:color="auto"/>
      </w:divBdr>
    </w:div>
    <w:div w:id="105396558">
      <w:bodyDiv w:val="1"/>
      <w:marLeft w:val="0"/>
      <w:marRight w:val="0"/>
      <w:marTop w:val="0"/>
      <w:marBottom w:val="0"/>
      <w:divBdr>
        <w:top w:val="none" w:sz="0" w:space="0" w:color="auto"/>
        <w:left w:val="none" w:sz="0" w:space="0" w:color="auto"/>
        <w:bottom w:val="none" w:sz="0" w:space="0" w:color="auto"/>
        <w:right w:val="none" w:sz="0" w:space="0" w:color="auto"/>
      </w:divBdr>
    </w:div>
    <w:div w:id="134686186">
      <w:bodyDiv w:val="1"/>
      <w:marLeft w:val="0"/>
      <w:marRight w:val="0"/>
      <w:marTop w:val="0"/>
      <w:marBottom w:val="0"/>
      <w:divBdr>
        <w:top w:val="none" w:sz="0" w:space="0" w:color="auto"/>
        <w:left w:val="none" w:sz="0" w:space="0" w:color="auto"/>
        <w:bottom w:val="none" w:sz="0" w:space="0" w:color="auto"/>
        <w:right w:val="none" w:sz="0" w:space="0" w:color="auto"/>
      </w:divBdr>
    </w:div>
    <w:div w:id="318654583">
      <w:bodyDiv w:val="1"/>
      <w:marLeft w:val="0"/>
      <w:marRight w:val="0"/>
      <w:marTop w:val="0"/>
      <w:marBottom w:val="0"/>
      <w:divBdr>
        <w:top w:val="none" w:sz="0" w:space="0" w:color="auto"/>
        <w:left w:val="none" w:sz="0" w:space="0" w:color="auto"/>
        <w:bottom w:val="none" w:sz="0" w:space="0" w:color="auto"/>
        <w:right w:val="none" w:sz="0" w:space="0" w:color="auto"/>
      </w:divBdr>
    </w:div>
    <w:div w:id="334961566">
      <w:bodyDiv w:val="1"/>
      <w:marLeft w:val="0"/>
      <w:marRight w:val="0"/>
      <w:marTop w:val="0"/>
      <w:marBottom w:val="0"/>
      <w:divBdr>
        <w:top w:val="none" w:sz="0" w:space="0" w:color="auto"/>
        <w:left w:val="none" w:sz="0" w:space="0" w:color="auto"/>
        <w:bottom w:val="none" w:sz="0" w:space="0" w:color="auto"/>
        <w:right w:val="none" w:sz="0" w:space="0" w:color="auto"/>
      </w:divBdr>
    </w:div>
    <w:div w:id="362168609">
      <w:bodyDiv w:val="1"/>
      <w:marLeft w:val="0"/>
      <w:marRight w:val="0"/>
      <w:marTop w:val="0"/>
      <w:marBottom w:val="0"/>
      <w:divBdr>
        <w:top w:val="none" w:sz="0" w:space="0" w:color="auto"/>
        <w:left w:val="none" w:sz="0" w:space="0" w:color="auto"/>
        <w:bottom w:val="none" w:sz="0" w:space="0" w:color="auto"/>
        <w:right w:val="none" w:sz="0" w:space="0" w:color="auto"/>
      </w:divBdr>
    </w:div>
    <w:div w:id="477496258">
      <w:bodyDiv w:val="1"/>
      <w:marLeft w:val="0"/>
      <w:marRight w:val="0"/>
      <w:marTop w:val="0"/>
      <w:marBottom w:val="0"/>
      <w:divBdr>
        <w:top w:val="none" w:sz="0" w:space="0" w:color="auto"/>
        <w:left w:val="none" w:sz="0" w:space="0" w:color="auto"/>
        <w:bottom w:val="none" w:sz="0" w:space="0" w:color="auto"/>
        <w:right w:val="none" w:sz="0" w:space="0" w:color="auto"/>
      </w:divBdr>
    </w:div>
    <w:div w:id="709064882">
      <w:bodyDiv w:val="1"/>
      <w:marLeft w:val="0"/>
      <w:marRight w:val="0"/>
      <w:marTop w:val="0"/>
      <w:marBottom w:val="0"/>
      <w:divBdr>
        <w:top w:val="none" w:sz="0" w:space="0" w:color="auto"/>
        <w:left w:val="none" w:sz="0" w:space="0" w:color="auto"/>
        <w:bottom w:val="none" w:sz="0" w:space="0" w:color="auto"/>
        <w:right w:val="none" w:sz="0" w:space="0" w:color="auto"/>
      </w:divBdr>
    </w:div>
    <w:div w:id="737481653">
      <w:bodyDiv w:val="1"/>
      <w:marLeft w:val="0"/>
      <w:marRight w:val="0"/>
      <w:marTop w:val="0"/>
      <w:marBottom w:val="0"/>
      <w:divBdr>
        <w:top w:val="none" w:sz="0" w:space="0" w:color="auto"/>
        <w:left w:val="none" w:sz="0" w:space="0" w:color="auto"/>
        <w:bottom w:val="none" w:sz="0" w:space="0" w:color="auto"/>
        <w:right w:val="none" w:sz="0" w:space="0" w:color="auto"/>
      </w:divBdr>
    </w:div>
    <w:div w:id="761536445">
      <w:bodyDiv w:val="1"/>
      <w:marLeft w:val="0"/>
      <w:marRight w:val="0"/>
      <w:marTop w:val="0"/>
      <w:marBottom w:val="0"/>
      <w:divBdr>
        <w:top w:val="none" w:sz="0" w:space="0" w:color="auto"/>
        <w:left w:val="none" w:sz="0" w:space="0" w:color="auto"/>
        <w:bottom w:val="none" w:sz="0" w:space="0" w:color="auto"/>
        <w:right w:val="none" w:sz="0" w:space="0" w:color="auto"/>
      </w:divBdr>
    </w:div>
    <w:div w:id="791022025">
      <w:bodyDiv w:val="1"/>
      <w:marLeft w:val="0"/>
      <w:marRight w:val="0"/>
      <w:marTop w:val="0"/>
      <w:marBottom w:val="0"/>
      <w:divBdr>
        <w:top w:val="none" w:sz="0" w:space="0" w:color="auto"/>
        <w:left w:val="none" w:sz="0" w:space="0" w:color="auto"/>
        <w:bottom w:val="none" w:sz="0" w:space="0" w:color="auto"/>
        <w:right w:val="none" w:sz="0" w:space="0" w:color="auto"/>
      </w:divBdr>
    </w:div>
    <w:div w:id="905988565">
      <w:bodyDiv w:val="1"/>
      <w:marLeft w:val="0"/>
      <w:marRight w:val="0"/>
      <w:marTop w:val="0"/>
      <w:marBottom w:val="0"/>
      <w:divBdr>
        <w:top w:val="none" w:sz="0" w:space="0" w:color="auto"/>
        <w:left w:val="none" w:sz="0" w:space="0" w:color="auto"/>
        <w:bottom w:val="none" w:sz="0" w:space="0" w:color="auto"/>
        <w:right w:val="none" w:sz="0" w:space="0" w:color="auto"/>
      </w:divBdr>
    </w:div>
    <w:div w:id="929581711">
      <w:bodyDiv w:val="1"/>
      <w:marLeft w:val="0"/>
      <w:marRight w:val="0"/>
      <w:marTop w:val="0"/>
      <w:marBottom w:val="0"/>
      <w:divBdr>
        <w:top w:val="none" w:sz="0" w:space="0" w:color="auto"/>
        <w:left w:val="none" w:sz="0" w:space="0" w:color="auto"/>
        <w:bottom w:val="none" w:sz="0" w:space="0" w:color="auto"/>
        <w:right w:val="none" w:sz="0" w:space="0" w:color="auto"/>
      </w:divBdr>
    </w:div>
    <w:div w:id="940337319">
      <w:bodyDiv w:val="1"/>
      <w:marLeft w:val="0"/>
      <w:marRight w:val="0"/>
      <w:marTop w:val="0"/>
      <w:marBottom w:val="0"/>
      <w:divBdr>
        <w:top w:val="none" w:sz="0" w:space="0" w:color="auto"/>
        <w:left w:val="none" w:sz="0" w:space="0" w:color="auto"/>
        <w:bottom w:val="none" w:sz="0" w:space="0" w:color="auto"/>
        <w:right w:val="none" w:sz="0" w:space="0" w:color="auto"/>
      </w:divBdr>
    </w:div>
    <w:div w:id="950940086">
      <w:bodyDiv w:val="1"/>
      <w:marLeft w:val="0"/>
      <w:marRight w:val="0"/>
      <w:marTop w:val="0"/>
      <w:marBottom w:val="0"/>
      <w:divBdr>
        <w:top w:val="none" w:sz="0" w:space="0" w:color="auto"/>
        <w:left w:val="none" w:sz="0" w:space="0" w:color="auto"/>
        <w:bottom w:val="none" w:sz="0" w:space="0" w:color="auto"/>
        <w:right w:val="none" w:sz="0" w:space="0" w:color="auto"/>
      </w:divBdr>
    </w:div>
    <w:div w:id="983972089">
      <w:bodyDiv w:val="1"/>
      <w:marLeft w:val="0"/>
      <w:marRight w:val="0"/>
      <w:marTop w:val="0"/>
      <w:marBottom w:val="0"/>
      <w:divBdr>
        <w:top w:val="none" w:sz="0" w:space="0" w:color="auto"/>
        <w:left w:val="none" w:sz="0" w:space="0" w:color="auto"/>
        <w:bottom w:val="none" w:sz="0" w:space="0" w:color="auto"/>
        <w:right w:val="none" w:sz="0" w:space="0" w:color="auto"/>
      </w:divBdr>
    </w:div>
    <w:div w:id="1014576732">
      <w:bodyDiv w:val="1"/>
      <w:marLeft w:val="0"/>
      <w:marRight w:val="0"/>
      <w:marTop w:val="0"/>
      <w:marBottom w:val="0"/>
      <w:divBdr>
        <w:top w:val="none" w:sz="0" w:space="0" w:color="auto"/>
        <w:left w:val="none" w:sz="0" w:space="0" w:color="auto"/>
        <w:bottom w:val="none" w:sz="0" w:space="0" w:color="auto"/>
        <w:right w:val="none" w:sz="0" w:space="0" w:color="auto"/>
      </w:divBdr>
    </w:div>
    <w:div w:id="1449348413">
      <w:bodyDiv w:val="1"/>
      <w:marLeft w:val="0"/>
      <w:marRight w:val="0"/>
      <w:marTop w:val="0"/>
      <w:marBottom w:val="0"/>
      <w:divBdr>
        <w:top w:val="none" w:sz="0" w:space="0" w:color="auto"/>
        <w:left w:val="none" w:sz="0" w:space="0" w:color="auto"/>
        <w:bottom w:val="none" w:sz="0" w:space="0" w:color="auto"/>
        <w:right w:val="none" w:sz="0" w:space="0" w:color="auto"/>
      </w:divBdr>
    </w:div>
    <w:div w:id="1488860637">
      <w:bodyDiv w:val="1"/>
      <w:marLeft w:val="0"/>
      <w:marRight w:val="0"/>
      <w:marTop w:val="0"/>
      <w:marBottom w:val="0"/>
      <w:divBdr>
        <w:top w:val="none" w:sz="0" w:space="0" w:color="auto"/>
        <w:left w:val="none" w:sz="0" w:space="0" w:color="auto"/>
        <w:bottom w:val="none" w:sz="0" w:space="0" w:color="auto"/>
        <w:right w:val="none" w:sz="0" w:space="0" w:color="auto"/>
      </w:divBdr>
    </w:div>
    <w:div w:id="1504399046">
      <w:bodyDiv w:val="1"/>
      <w:marLeft w:val="0"/>
      <w:marRight w:val="0"/>
      <w:marTop w:val="0"/>
      <w:marBottom w:val="0"/>
      <w:divBdr>
        <w:top w:val="none" w:sz="0" w:space="0" w:color="auto"/>
        <w:left w:val="none" w:sz="0" w:space="0" w:color="auto"/>
        <w:bottom w:val="none" w:sz="0" w:space="0" w:color="auto"/>
        <w:right w:val="none" w:sz="0" w:space="0" w:color="auto"/>
      </w:divBdr>
    </w:div>
    <w:div w:id="1506507169">
      <w:bodyDiv w:val="1"/>
      <w:marLeft w:val="0"/>
      <w:marRight w:val="0"/>
      <w:marTop w:val="0"/>
      <w:marBottom w:val="0"/>
      <w:divBdr>
        <w:top w:val="none" w:sz="0" w:space="0" w:color="auto"/>
        <w:left w:val="none" w:sz="0" w:space="0" w:color="auto"/>
        <w:bottom w:val="none" w:sz="0" w:space="0" w:color="auto"/>
        <w:right w:val="none" w:sz="0" w:space="0" w:color="auto"/>
      </w:divBdr>
    </w:div>
    <w:div w:id="1597591225">
      <w:bodyDiv w:val="1"/>
      <w:marLeft w:val="0"/>
      <w:marRight w:val="0"/>
      <w:marTop w:val="0"/>
      <w:marBottom w:val="0"/>
      <w:divBdr>
        <w:top w:val="none" w:sz="0" w:space="0" w:color="auto"/>
        <w:left w:val="none" w:sz="0" w:space="0" w:color="auto"/>
        <w:bottom w:val="none" w:sz="0" w:space="0" w:color="auto"/>
        <w:right w:val="none" w:sz="0" w:space="0" w:color="auto"/>
      </w:divBdr>
    </w:div>
    <w:div w:id="1610236694">
      <w:bodyDiv w:val="1"/>
      <w:marLeft w:val="0"/>
      <w:marRight w:val="0"/>
      <w:marTop w:val="0"/>
      <w:marBottom w:val="0"/>
      <w:divBdr>
        <w:top w:val="none" w:sz="0" w:space="0" w:color="auto"/>
        <w:left w:val="none" w:sz="0" w:space="0" w:color="auto"/>
        <w:bottom w:val="none" w:sz="0" w:space="0" w:color="auto"/>
        <w:right w:val="none" w:sz="0" w:space="0" w:color="auto"/>
      </w:divBdr>
    </w:div>
    <w:div w:id="1634673233">
      <w:bodyDiv w:val="1"/>
      <w:marLeft w:val="0"/>
      <w:marRight w:val="0"/>
      <w:marTop w:val="0"/>
      <w:marBottom w:val="0"/>
      <w:divBdr>
        <w:top w:val="none" w:sz="0" w:space="0" w:color="auto"/>
        <w:left w:val="none" w:sz="0" w:space="0" w:color="auto"/>
        <w:bottom w:val="none" w:sz="0" w:space="0" w:color="auto"/>
        <w:right w:val="none" w:sz="0" w:space="0" w:color="auto"/>
      </w:divBdr>
    </w:div>
    <w:div w:id="1693266254">
      <w:bodyDiv w:val="1"/>
      <w:marLeft w:val="0"/>
      <w:marRight w:val="0"/>
      <w:marTop w:val="0"/>
      <w:marBottom w:val="0"/>
      <w:divBdr>
        <w:top w:val="none" w:sz="0" w:space="0" w:color="auto"/>
        <w:left w:val="none" w:sz="0" w:space="0" w:color="auto"/>
        <w:bottom w:val="none" w:sz="0" w:space="0" w:color="auto"/>
        <w:right w:val="none" w:sz="0" w:space="0" w:color="auto"/>
      </w:divBdr>
    </w:div>
    <w:div w:id="1844202773">
      <w:bodyDiv w:val="1"/>
      <w:marLeft w:val="0"/>
      <w:marRight w:val="0"/>
      <w:marTop w:val="0"/>
      <w:marBottom w:val="0"/>
      <w:divBdr>
        <w:top w:val="none" w:sz="0" w:space="0" w:color="auto"/>
        <w:left w:val="none" w:sz="0" w:space="0" w:color="auto"/>
        <w:bottom w:val="none" w:sz="0" w:space="0" w:color="auto"/>
        <w:right w:val="none" w:sz="0" w:space="0" w:color="auto"/>
      </w:divBdr>
    </w:div>
    <w:div w:id="1864204274">
      <w:bodyDiv w:val="1"/>
      <w:marLeft w:val="0"/>
      <w:marRight w:val="0"/>
      <w:marTop w:val="0"/>
      <w:marBottom w:val="0"/>
      <w:divBdr>
        <w:top w:val="none" w:sz="0" w:space="0" w:color="auto"/>
        <w:left w:val="none" w:sz="0" w:space="0" w:color="auto"/>
        <w:bottom w:val="none" w:sz="0" w:space="0" w:color="auto"/>
        <w:right w:val="none" w:sz="0" w:space="0" w:color="auto"/>
      </w:divBdr>
    </w:div>
    <w:div w:id="1883516921">
      <w:bodyDiv w:val="1"/>
      <w:marLeft w:val="0"/>
      <w:marRight w:val="0"/>
      <w:marTop w:val="0"/>
      <w:marBottom w:val="0"/>
      <w:divBdr>
        <w:top w:val="none" w:sz="0" w:space="0" w:color="auto"/>
        <w:left w:val="none" w:sz="0" w:space="0" w:color="auto"/>
        <w:bottom w:val="none" w:sz="0" w:space="0" w:color="auto"/>
        <w:right w:val="none" w:sz="0" w:space="0" w:color="auto"/>
      </w:divBdr>
    </w:div>
    <w:div w:id="1913998673">
      <w:bodyDiv w:val="1"/>
      <w:marLeft w:val="0"/>
      <w:marRight w:val="0"/>
      <w:marTop w:val="0"/>
      <w:marBottom w:val="0"/>
      <w:divBdr>
        <w:top w:val="none" w:sz="0" w:space="0" w:color="auto"/>
        <w:left w:val="none" w:sz="0" w:space="0" w:color="auto"/>
        <w:bottom w:val="none" w:sz="0" w:space="0" w:color="auto"/>
        <w:right w:val="none" w:sz="0" w:space="0" w:color="auto"/>
      </w:divBdr>
    </w:div>
    <w:div w:id="1946645241">
      <w:bodyDiv w:val="1"/>
      <w:marLeft w:val="0"/>
      <w:marRight w:val="0"/>
      <w:marTop w:val="0"/>
      <w:marBottom w:val="0"/>
      <w:divBdr>
        <w:top w:val="none" w:sz="0" w:space="0" w:color="auto"/>
        <w:left w:val="none" w:sz="0" w:space="0" w:color="auto"/>
        <w:bottom w:val="none" w:sz="0" w:space="0" w:color="auto"/>
        <w:right w:val="none" w:sz="0" w:space="0" w:color="auto"/>
      </w:divBdr>
    </w:div>
    <w:div w:id="19934814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Century Gothic">
      <a:majorFont>
        <a:latin typeface="Century Gothic" panose="020F0302020204030204"/>
        <a:ea typeface=""/>
        <a:cs typeface=""/>
        <a:font script="Jpan" typeface="メイリオ"/>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Gothic" panose="020F03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325</TotalTime>
  <Pages>5</Pages>
  <Words>4671</Words>
  <Characters>26627</Characters>
  <Application>Microsoft Office Word</Application>
  <DocSecurity>0</DocSecurity>
  <Lines>221</Lines>
  <Paragraphs>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31236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Eum, Brenden</dc:creator>
  <cp:keywords/>
  <dc:description/>
  <cp:lastModifiedBy>Eum, Brenden</cp:lastModifiedBy>
  <cp:revision>71</cp:revision>
  <cp:lastPrinted>2025-03-17T20:01:00Z</cp:lastPrinted>
  <dcterms:created xsi:type="dcterms:W3CDTF">2025-03-16T21:58:00Z</dcterms:created>
  <dcterms:modified xsi:type="dcterms:W3CDTF">2025-03-18T15:00:00Z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zotero-version="7.0.12-beta.1+31bbf2acf"&gt;&lt;session id="OTltBjBn"/&gt;&lt;style id="http://www.zotero.org/styles/journal-of-consumer-research" hasBibliography="1" bibliographyStyleHasBeenSet="1"/&gt;&lt;prefs&gt;&lt;pref name="fieldType" value="Field"/</vt:lpwstr>
  </property>
  <property fmtid="{D5CDD505-2E9C-101B-9397-08002B2CF9AE}" pid="3" name="ZOTERO_PREF_2">
    <vt:lpwstr>&gt;&lt;/prefs&gt;&lt;/data&gt;</vt:lpwstr>
  </property>
</Properties>
</file>