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edb2d550fa56e78abdd2edc69e7892c7bd62fb0"/>
    <w:p>
      <w:pPr>
        <w:pStyle w:val="Heading1"/>
      </w:pPr>
      <w:r>
        <w:t xml:space="preserve">РОЗДІЛ 1. АНАЛІЗ ПРЕДМЕТНОЇ ОБЛАСТІ ТА ПОСТАНОВКА ЗАДАЧІ ДОСЛІДЖЕННЯ</w:t>
      </w:r>
    </w:p>
    <w:bookmarkStart w:id="22" w:name="актуальність-вибраної-теми-дослідження"/>
    <w:p>
      <w:pPr>
        <w:pStyle w:val="Heading2"/>
      </w:pPr>
      <w:r>
        <w:t xml:space="preserve">1.1. Актуальність вибраної теми дослідження</w:t>
      </w:r>
    </w:p>
    <w:p>
      <w:pPr>
        <w:pStyle w:val="FirstParagraph"/>
      </w:pPr>
      <w:r>
        <w:t xml:space="preserve">Ринок локальних побутових послуг (ремонт і монтаж інженерних систем, електромонтажні роботи, репетиторство, догляд за тваринами) залишається значною мірою неформалізованим. Пошук виконавця здійснюється переважно через знайомих і чати будинків, тому відсутні верифікація виконавців, структурована історія замовлень та гарантії для сторін. Відгуки на загальних дошках оголошень не прив’язані до реальних замовлень і піддаються штучному накрученню.</w:t>
      </w:r>
    </w:p>
    <w:p>
      <w:pPr>
        <w:pStyle w:val="BodyText"/>
      </w:pPr>
      <w:r>
        <w:t xml:space="preserve">Простий середній бал не враховує верифікацію виконавця, географічну близькість автора відгуку, кількість підтверджених замовлень і давність активності. Рейтинги в сервісах відгуків вразливі до координованих оцінок пов’язаних акаунтів і атак типу Sybil, що знецінює їх як інструмент довіри. З інженерного погляду задача належить до класу систем із критичною цілісністю даних: стан замовлення має змінюватися детерміновано й атомарно, відгук допустимий лише після підтвердженого виконання, розрахунок довіри має бути відтворюваним, а побічні ефекти (сповіщення, перерахунок рейтингу) не повинні втрачатися під час збоїв.</w:t>
      </w:r>
    </w:p>
    <w:p>
      <w:pPr>
        <w:pStyle w:val="BodyText"/>
      </w:pPr>
      <w:r>
        <w:t xml:space="preserve">Таким чином, актуальність теми визначається потребою в програмній платформі, що поєднує верифіковану взаємодію користувачів, відмовостійку архітектуру та алгоритмічно обґрунтований районний рейтинг довіри, стійкий до накрутки відгуків.</w:t>
      </w:r>
    </w:p>
    <w:bookmarkStart w:id="20" w:name="мета-обєкт-і-предмет-дослідження"/>
    <w:p>
      <w:pPr>
        <w:pStyle w:val="Heading3"/>
      </w:pPr>
      <w:r>
        <w:t xml:space="preserve">1.1.1. Мета, об’єкт і предмет дослідження</w:t>
      </w:r>
    </w:p>
    <w:p>
      <w:pPr>
        <w:pStyle w:val="FirstParagraph"/>
      </w:pPr>
      <w:r>
        <w:rPr>
          <w:bCs/>
          <w:b/>
        </w:rPr>
        <w:t xml:space="preserve">Об’єкт дослідження</w:t>
      </w:r>
      <w:r>
        <w:t xml:space="preserve"> </w:t>
      </w:r>
      <w:r>
        <w:t xml:space="preserve">— процес вибору виконавця локальних побутових послуг на основі репутаційної інформації.</w:t>
      </w:r>
    </w:p>
    <w:p>
      <w:pPr>
        <w:pStyle w:val="BodyText"/>
      </w:pPr>
      <w:r>
        <w:rPr>
          <w:bCs/>
          <w:b/>
        </w:rPr>
        <w:t xml:space="preserve">Предмет дослідження</w:t>
      </w:r>
      <w:r>
        <w:t xml:space="preserve"> </w:t>
      </w:r>
      <w:r>
        <w:t xml:space="preserve">— методи побудови рейтингу довіри виконавця за підтвердженими замовленнями та відгуками й їх програмна реалізація у веб-платформі.</w:t>
      </w:r>
    </w:p>
    <w:p>
      <w:pPr>
        <w:pStyle w:val="BodyText"/>
      </w:pPr>
      <w:r>
        <w:rPr>
          <w:bCs/>
          <w:b/>
        </w:rPr>
        <w:t xml:space="preserve">Мета роботи</w:t>
      </w:r>
      <w:r>
        <w:t xml:space="preserve"> </w:t>
      </w:r>
      <w:r>
        <w:t xml:space="preserve">— підвищити достовірність вибору виконавця локальних послуг шляхом розроблення веб-платформи «Сусід» з районним рейтингом довіри, стійким до накрутки відгуків.</w:t>
      </w:r>
    </w:p>
    <w:bookmarkEnd w:id="20"/>
    <w:bookmarkStart w:id="21" w:name="завдання-дослідження"/>
    <w:p>
      <w:pPr>
        <w:pStyle w:val="Heading3"/>
      </w:pPr>
      <w:r>
        <w:t xml:space="preserve">1.1.2. Завдання дослідження</w:t>
      </w:r>
    </w:p>
    <w:p>
      <w:pPr>
        <w:numPr>
          <w:ilvl w:val="0"/>
          <w:numId w:val="1001"/>
        </w:numPr>
        <w:pStyle w:val="Compact"/>
      </w:pPr>
      <w:r>
        <w:t xml:space="preserve">Проаналізувати предметну область і наявні рішення, визначити їх недоліки.</w:t>
      </w:r>
    </w:p>
    <w:p>
      <w:pPr>
        <w:numPr>
          <w:ilvl w:val="0"/>
          <w:numId w:val="1001"/>
        </w:numPr>
        <w:pStyle w:val="Compact"/>
      </w:pPr>
      <w:r>
        <w:t xml:space="preserve">Сформулювати вимоги, спроєктувати архітектуру (модульний моноліт) і реляційну модель даних.</w:t>
      </w:r>
    </w:p>
    <w:p>
      <w:pPr>
        <w:numPr>
          <w:ilvl w:val="0"/>
          <w:numId w:val="1001"/>
        </w:numPr>
        <w:pStyle w:val="Compact"/>
      </w:pPr>
      <w:r>
        <w:t xml:space="preserve">Розробити модель життєвого циклу замовлення на основі скінченного автомата, що допускає відгуки лише після підтвердженого замовлення.</w:t>
      </w:r>
    </w:p>
    <w:p>
      <w:pPr>
        <w:numPr>
          <w:ilvl w:val="0"/>
          <w:numId w:val="1001"/>
        </w:numPr>
        <w:pStyle w:val="Compact"/>
      </w:pPr>
      <w:r>
        <w:t xml:space="preserve">Розробити алгоритм рейтингу довіри з урахуванням верифікації, району автора відгуку, кількості підтверджених замовлень і давності активності.</w:t>
      </w:r>
    </w:p>
    <w:p>
      <w:pPr>
        <w:numPr>
          <w:ilvl w:val="0"/>
          <w:numId w:val="1001"/>
        </w:numPr>
        <w:pStyle w:val="Compact"/>
      </w:pPr>
      <w:r>
        <w:t xml:space="preserve">Реалізувати веб-застосунок, REST API, Telegram-бота, асинхронний перерахунок рейтингу та виявлення підозрілих патернів відгуків.</w:t>
      </w:r>
    </w:p>
    <w:p>
      <w:pPr>
        <w:numPr>
          <w:ilvl w:val="0"/>
          <w:numId w:val="1001"/>
        </w:numPr>
        <w:pStyle w:val="Compact"/>
      </w:pPr>
      <w:r>
        <w:t xml:space="preserve">Дослідити стійкість алгоритму до накрутки на синтетичних даних порівняно з середнім балом.</w:t>
      </w:r>
    </w:p>
    <w:p>
      <w:pPr>
        <w:numPr>
          <w:ilvl w:val="0"/>
          <w:numId w:val="1001"/>
        </w:numPr>
        <w:pStyle w:val="Compact"/>
      </w:pPr>
      <w:r>
        <w:t xml:space="preserve">Протестувати систему, налаштувати CI/CD і розгорнути її на VPS.</w:t>
      </w:r>
    </w:p>
    <w:bookmarkEnd w:id="21"/>
    <w:bookmarkEnd w:id="22"/>
    <w:bookmarkStart w:id="28" w:name="X44b075eb9250cb572d7d057305bd64328936809"/>
    <w:p>
      <w:pPr>
        <w:pStyle w:val="Heading2"/>
      </w:pPr>
      <w:r>
        <w:t xml:space="preserve">1.2. Огляд сучасних підходів до вирішення відповідних завдань в межах обраного дослідження</w:t>
      </w:r>
    </w:p>
    <w:p>
      <w:pPr>
        <w:pStyle w:val="FirstParagraph"/>
      </w:pPr>
      <w:r>
        <w:t xml:space="preserve">Задача побудови достовірного рейтингу виконавця декомпонується на чотири підзадачі: агрегація оцінок, виявлення неавтентичних відгуків, забезпечення цілісності й доставки подій та підготовка виконавця до виїзду за інформацією із запиту. Для кожної з них у літературі та індустріальній практиці наявні типові підходи, розглянуті нижче.</w:t>
      </w:r>
    </w:p>
    <w:bookmarkStart w:id="23" w:name="підходи-до-агрегації-оцінок"/>
    <w:p>
      <w:pPr>
        <w:pStyle w:val="Heading3"/>
      </w:pPr>
      <w:r>
        <w:t xml:space="preserve">1.2.1. Підходи до агрегації оцінок</w:t>
      </w:r>
    </w:p>
    <w:p>
      <w:pPr>
        <w:pStyle w:val="FirstParagraph"/>
      </w:pPr>
      <w:r>
        <w:t xml:space="preserve">Базовим підходом є середнє арифметичне оцінок. Його недолік полягає у високій чутливості до малої кількості спостережень: виконавець з єдиним відгуком «5» отримує вищий рейтинг, ніж виконавець із 200 відгуками та середнім значенням 4.8, що призводить до інверсії ранжування.</w:t>
      </w:r>
    </w:p>
    <w:p>
      <w:pPr>
        <w:pStyle w:val="BodyText"/>
      </w:pPr>
      <w:r>
        <w:t xml:space="preserve">Поширеним способом усунення цього недоліку є байєсівське згладжування (зважене середнє з апріорною оцінкою). Рейтинг виконавця визначається за формулою:</w:t>
      </w:r>
    </w:p>
    <w:p>
      <w:pPr>
        <w:pStyle w:val="BodyText"/>
      </w:pPr>
      <m:oMathPara>
        <m:oMathParaPr>
          <m:jc m:val="center"/>
        </m:oMathParaPr>
        <m:oMath>
          <m:r>
            <m:t>R</m:t>
          </m:r>
          <m:r>
            <m:rPr>
              <m:sty m:val="p"/>
            </m:rPr>
            <m:t>=</m:t>
          </m:r>
          <m:f>
            <m:fPr>
              <m:type m:val="bar"/>
            </m:fPr>
            <m:num>
              <m:r>
                <m:t>v</m:t>
              </m:r>
              <m:r>
                <m:rPr>
                  <m:sty m:val="p"/>
                </m:rPr>
                <m:t>⋅</m:t>
              </m:r>
              <m:acc>
                <m:accPr>
                  <m:chr m:val="‾"/>
                </m:accPr>
                <m:e>
                  <m:r>
                    <m:t>r</m:t>
                  </m:r>
                </m:e>
              </m:acc>
              <m:r>
                <m:rPr>
                  <m:sty m:val="p"/>
                </m:rPr>
                <m:t>+</m:t>
              </m:r>
              <m:r>
                <m:t>m</m:t>
              </m:r>
              <m:r>
                <m:rPr>
                  <m:sty m:val="p"/>
                </m:rPr>
                <m:t>⋅</m:t>
              </m:r>
              <m:r>
                <m:t>C</m:t>
              </m:r>
            </m:num>
            <m:den>
              <m:r>
                <m:t>v</m:t>
              </m:r>
              <m:r>
                <m:rPr>
                  <m:sty m:val="p"/>
                </m:rPr>
                <m:t>+</m:t>
              </m:r>
              <m:r>
                <m:t>m</m:t>
              </m:r>
            </m:den>
          </m:f>
          <m:r>
            <m:rPr>
              <m:sty m:val="p"/>
            </m:rPr>
            <m:t>,</m:t>
          </m:r>
        </m:oMath>
      </m:oMathPara>
    </w:p>
    <w:p>
      <w:pPr>
        <w:pStyle w:val="FirstParagraph"/>
      </w:pPr>
      <w:r>
        <w:t xml:space="preserve">де</w:t>
      </w:r>
      <w:r>
        <w:t xml:space="preserve"> </w:t>
      </w:r>
      <m:oMath>
        <m:r>
          <m:t>v</m:t>
        </m:r>
      </m:oMath>
      <w:r>
        <w:t xml:space="preserve"> </w:t>
      </w:r>
      <w:r>
        <w:t xml:space="preserve">— кількість відгуків виконавця,</w:t>
      </w:r>
      <w:r>
        <w:t xml:space="preserve"> </w:t>
      </w:r>
      <m:oMath>
        <m:acc>
          <m:accPr>
            <m:chr m:val="‾"/>
          </m:accPr>
          <m:e>
            <m:r>
              <m:t>r</m:t>
            </m:r>
          </m:e>
        </m:acc>
      </m:oMath>
      <w:r>
        <w:t xml:space="preserve"> </w:t>
      </w:r>
      <w:r>
        <w:t xml:space="preserve">— середня оцінка виконавця,</w:t>
      </w:r>
      <w:r>
        <w:t xml:space="preserve"> </w:t>
      </w:r>
      <m:oMath>
        <m:r>
          <m:t>C</m:t>
        </m:r>
      </m:oMath>
      <w:r>
        <w:t xml:space="preserve"> </w:t>
      </w:r>
      <w:r>
        <w:t xml:space="preserve">— середня оцінка за всією платформою,</w:t>
      </w:r>
      <w:r>
        <w:t xml:space="preserve"> </w:t>
      </w:r>
      <m:oMath>
        <m:r>
          <m:t>m</m:t>
        </m:r>
      </m:oMath>
      <w:r>
        <w:t xml:space="preserve"> </w:t>
      </w:r>
      <w:r>
        <w:t xml:space="preserve">— параметр згладжування (кількість «віртуальних» відгуків із оцінкою</w:t>
      </w:r>
      <w:r>
        <w:t xml:space="preserve"> </w:t>
      </w:r>
      <m:oMath>
        <m:r>
          <m:t>C</m:t>
        </m:r>
      </m:oMath>
      <w:r>
        <w:t xml:space="preserve">). За малих</w:t>
      </w:r>
      <w:r>
        <w:t xml:space="preserve"> </w:t>
      </w:r>
      <m:oMath>
        <m:r>
          <m:t>v</m:t>
        </m:r>
      </m:oMath>
      <w:r>
        <w:t xml:space="preserve"> </w:t>
      </w:r>
      <w:r>
        <w:t xml:space="preserve">рейтинг наближається до</w:t>
      </w:r>
      <w:r>
        <w:t xml:space="preserve"> </w:t>
      </w:r>
      <m:oMath>
        <m:r>
          <m:t>C</m:t>
        </m:r>
      </m:oMath>
      <w:r>
        <w:t xml:space="preserve">, за великих — до</w:t>
      </w:r>
      <w:r>
        <w:t xml:space="preserve"> </w:t>
      </w:r>
      <m:oMath>
        <m:acc>
          <m:accPr>
            <m:chr m:val="‾"/>
          </m:accPr>
          <m:e>
            <m:r>
              <m:t>r</m:t>
            </m:r>
          </m:e>
        </m:acc>
      </m:oMath>
      <w:r>
        <w:t xml:space="preserve">.</w:t>
      </w:r>
    </w:p>
    <w:p>
      <w:pPr>
        <w:pStyle w:val="BodyText"/>
      </w:pPr>
      <w:r>
        <w:t xml:space="preserve">Альтернативою є використання нижньої межі довірчого інтервалу Вілсона для частки позитивних оцінок [1], що також штрафує малі вибірки. Для врахування давності застосовується експоненційне затухання ваги відгуку</w:t>
      </w:r>
      <w:r>
        <w:t xml:space="preserve"> </w:t>
      </w:r>
      <m:oMath>
        <m:r>
          <m:t>w</m:t>
        </m:r>
        <m:r>
          <m:rPr>
            <m:sty m:val="p"/>
          </m:rPr>
          <m:t>=</m:t>
        </m:r>
        <m:sSup>
          <m:e>
            <m:r>
              <m:t>2</m:t>
            </m:r>
          </m:e>
          <m:sup>
            <m:r>
              <m:rPr>
                <m:sty m:val="p"/>
              </m:rPr>
              <m:t>−</m:t>
            </m:r>
            <m:r>
              <m:t>Δ</m:t>
            </m:r>
            <m:r>
              <m:t>t</m:t>
            </m:r>
            <m:r>
              <m:rPr>
                <m:sty m:val="p"/>
              </m:rPr>
              <m:t>/</m:t>
            </m:r>
            <m:r>
              <m:t>τ</m:t>
            </m:r>
          </m:sup>
        </m:sSup>
      </m:oMath>
      <w:r>
        <w:t xml:space="preserve">, де</w:t>
      </w:r>
      <w:r>
        <w:t xml:space="preserve"> </w:t>
      </w:r>
      <m:oMath>
        <m:r>
          <m:t>Δ</m:t>
        </m:r>
        <m:r>
          <m:t>t</m:t>
        </m:r>
      </m:oMath>
      <w:r>
        <w:t xml:space="preserve"> </w:t>
      </w:r>
      <w:r>
        <w:t xml:space="preserve">— вік відгуку,</w:t>
      </w:r>
      <w:r>
        <w:t xml:space="preserve"> </w:t>
      </w:r>
      <m:oMath>
        <m:r>
          <m:t>τ</m:t>
        </m:r>
      </m:oMath>
      <w:r>
        <w:t xml:space="preserve"> </w:t>
      </w:r>
      <w:r>
        <w:t xml:space="preserve">— період напіврозпаду. Додатковим чинником є обмеження допуску до відгуку лише для підтверджених транзакцій (модель verified purchase), що усуває відгуки без реальної взаємодії.</w:t>
      </w:r>
    </w:p>
    <w:bookmarkEnd w:id="23"/>
    <w:bookmarkStart w:id="24" w:name="X4cccadf48188721ac0bee03c3d31824d06bdf4a"/>
    <w:p>
      <w:pPr>
        <w:pStyle w:val="Heading3"/>
      </w:pPr>
      <w:r>
        <w:t xml:space="preserve">1.2.2. Підходи до виявлення неавтентичних відгуків</w:t>
      </w:r>
    </w:p>
    <w:p>
      <w:pPr>
        <w:pStyle w:val="FirstParagraph"/>
      </w:pPr>
      <w:r>
        <w:t xml:space="preserve">Методи виявлення неавтентичних відгуків поділяють на текстові, поведінкові та графові.</w:t>
      </w:r>
    </w:p>
    <w:p>
      <w:pPr>
        <w:pStyle w:val="BodyText"/>
      </w:pPr>
      <w:r>
        <w:t xml:space="preserve">Текстові методи аналізують лінгвістичні ознаки відгуку; їх застосування до задачі виявлення фальшивих відгуків описано в роботі [2]. До них належить і пошук шаблонних або майже однакових текстів за векторними представленнями (embeddings) багатомовних моделей.</w:t>
      </w:r>
    </w:p>
    <w:p>
      <w:pPr>
        <w:pStyle w:val="BodyText"/>
      </w:pPr>
      <w:r>
        <w:t xml:space="preserve">Поведінкові методи використовують часові та кількісні ознаки: пакети відгуків за короткий проміжок часу, різка зміна частоти оцінювання, однорідність оцінок одного акаунта.</w:t>
      </w:r>
    </w:p>
    <w:p>
      <w:pPr>
        <w:pStyle w:val="BodyText"/>
      </w:pPr>
      <w:r>
        <w:t xml:space="preserve">Графові методи розглядають акаунти та взаємодії між ними як граф. Для протидії атакам Sybil запропоновано алгоритми, що використовують структуру соціального графа [3]; алгоритм EigenTrust обчислює глобальну довіру через ітеративне поширення локальних оцінок [4]; метод Fraudar виявляє щільні підграфи, які утворюють координовані групи акаунтів, зокрема за умови маскування [5]. Для задачі «Сусіда» актуальними є виявлення взаємних оцінок між парою акаунтів та замкнених кластерів у графі «замовник — майстер».</w:t>
      </w:r>
    </w:p>
    <w:p>
      <w:pPr>
        <w:pStyle w:val="BodyText"/>
      </w:pPr>
      <w:r>
        <w:t xml:space="preserve">Спільним обмеженням цих методів є залежність від якості розмічених даних. Публічні набори з підтвердженими накрутками локальних послуг відсутні, тому оцінювання ефективності потребує синтетичного датасету з відомою розміткою.</w:t>
      </w:r>
    </w:p>
    <w:bookmarkEnd w:id="24"/>
    <w:bookmarkStart w:id="25" w:name="X2dc25ca9e45ba01dc2364800a09b4d7b517fe69"/>
    <w:p>
      <w:pPr>
        <w:pStyle w:val="Heading3"/>
      </w:pPr>
      <w:r>
        <w:t xml:space="preserve">1.2.3. Архітектурні підходи до забезпечення цілісності та доставки подій</w:t>
      </w:r>
    </w:p>
    <w:p>
      <w:pPr>
        <w:pStyle w:val="FirstParagraph"/>
      </w:pPr>
      <w:r>
        <w:t xml:space="preserve">Для життєвого циклу замовлення застосовується скінченний автомат (State Machine) із явною множиною станів і дозволених переходів, що виключає недопустимі послідовності дій. Цілісність пов’язаних сутностей забезпечується обмеженнями цілісності реляційної СУБД (зовнішні ключі, CHECK-обмеження).</w:t>
      </w:r>
    </w:p>
    <w:p>
      <w:pPr>
        <w:pStyle w:val="BodyText"/>
      </w:pPr>
      <w:r>
        <w:t xml:space="preserve">Узгодження стану в СУБД та публікації події у брокер повідомлень становить проблему подвійного запису (dual write): за збою між фіксацією транзакції та публікацією подія втрачається. Типовим рішенням є патерн Transactional Outbox [6], за якого подія записується в таблицю в тій самій транзакції, що й бізнес-зміна, а окремий ретранслятор публікує її до брокера із семантикою доставки «щонайменше один раз» (at-least-once) за умови ідемпотентності споживачів.</w:t>
      </w:r>
    </w:p>
    <w:p>
      <w:pPr>
        <w:pStyle w:val="BodyText"/>
      </w:pPr>
      <w:r>
        <w:t xml:space="preserve">Щодо структури системи розглядаються модульний моноліт та мікросервісна декомпозиція. Результати аналізу аналогів (підрозділ 1.3) свідчать, що для масштабу пілотного розгортання та команди з однієї особи мікросервісна декомпозиція збільшує операційну складність без пропорційного виграшу.</w:t>
      </w:r>
    </w:p>
    <w:bookmarkEnd w:id="25"/>
    <w:bookmarkStart w:id="26" w:name="Xf92205e5cf21180a4b01639db5ec2b4e281a5af"/>
    <w:p>
      <w:pPr>
        <w:pStyle w:val="Heading3"/>
      </w:pPr>
      <w:r>
        <w:t xml:space="preserve">1.2.4. Підходи до попередньої діагностики запиту за зображенням</w:t>
      </w:r>
    </w:p>
    <w:p>
      <w:pPr>
        <w:pStyle w:val="FirstParagraph"/>
      </w:pPr>
      <w:r>
        <w:t xml:space="preserve">Класифікація зображень без навчання на власних даних (zero-shot) реалізується моделями, що навчені на парах «зображення — текст», зокрема CLIP [7]. Модель порівнює векторне представлення фотографії з векторними представленнями текстових описів класів (наприклад, «кран, що протікає», «пошкоджена розетка»). Перелік матеріалів та інструментів визначається за базою знань, яка відображає тип несправності в рекомендований набір. Обмеженням підходу є зниження точності на нетипових зображеннях, тому результат має подаватися як підказка, що підтверджується виконавцем.</w:t>
      </w:r>
    </w:p>
    <w:bookmarkEnd w:id="26"/>
    <w:bookmarkStart w:id="27" w:name="підсумок-огляду-підходів"/>
    <w:p>
      <w:pPr>
        <w:pStyle w:val="Heading3"/>
      </w:pPr>
      <w:r>
        <w:t xml:space="preserve">1.2.5. Підсумок огляду підходів</w:t>
      </w:r>
    </w:p>
    <w:p>
      <w:pPr>
        <w:pStyle w:val="FirstParagraph"/>
      </w:pPr>
      <w:r>
        <w:t xml:space="preserve">Таблиця 1.1 – Підходи до вирішення підзадач та їх застосовність у проєкті «Сусід»</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rPr>
                <w:b/>
                <w:sz w:val="20"/>
              </w:rPr>
              <w:t xml:space="preserve">Підзадача</w:t>
            </w:r>
          </w:p>
        </w:tc>
        <w:tc>
          <w:tcPr/>
          <w:p>
            <w:pPr>
              <w:pStyle w:val="Compact"/>
              <w:jc w:val="left"/>
            </w:pPr>
            <w:r>
              <w:rPr>
                <w:b/>
                <w:sz w:val="20"/>
              </w:rPr>
              <w:t xml:space="preserve">Розглянуті підходи</w:t>
            </w:r>
          </w:p>
        </w:tc>
        <w:tc>
          <w:tcPr/>
          <w:p>
            <w:pPr>
              <w:pStyle w:val="Compact"/>
              <w:jc w:val="left"/>
            </w:pPr>
            <w:r>
              <w:rPr>
                <w:b/>
                <w:sz w:val="20"/>
              </w:rPr>
              <w:t xml:space="preserve">Рішення для проєкту</w:t>
            </w:r>
          </w:p>
        </w:tc>
      </w:tr>
      <w:tr>
        <w:tc>
          <w:tcPr/>
          <w:p>
            <w:pPr>
              <w:pStyle w:val="Compact"/>
              <w:jc w:val="left"/>
            </w:pPr>
            <w:r>
              <w:rPr>
                <w:sz w:val="20"/>
              </w:rPr>
              <w:t xml:space="preserve">Агрегація оцінок</w:t>
            </w:r>
          </w:p>
        </w:tc>
        <w:tc>
          <w:tcPr/>
          <w:p>
            <w:pPr>
              <w:pStyle w:val="Compact"/>
              <w:jc w:val="left"/>
            </w:pPr>
            <w:r>
              <w:rPr>
                <w:sz w:val="20"/>
              </w:rPr>
              <w:t xml:space="preserve">Середнє арифметичне; інтервал Вілсона; байєсівське згладжування</w:t>
            </w:r>
          </w:p>
        </w:tc>
        <w:tc>
          <w:tcPr/>
          <w:p>
            <w:pPr>
              <w:pStyle w:val="Compact"/>
              <w:jc w:val="left"/>
            </w:pPr>
            <w:r>
              <w:rPr>
                <w:sz w:val="20"/>
              </w:rPr>
              <w:t xml:space="preserve">Байєсівське згладжування з вагами за районом і давністю</w:t>
            </w:r>
          </w:p>
        </w:tc>
      </w:tr>
      <w:tr>
        <w:tc>
          <w:tcPr/>
          <w:p>
            <w:pPr>
              <w:pStyle w:val="Compact"/>
              <w:jc w:val="left"/>
            </w:pPr>
            <w:r>
              <w:rPr>
                <w:sz w:val="20"/>
              </w:rPr>
              <w:t xml:space="preserve">Допуск до відгуку</w:t>
            </w:r>
          </w:p>
        </w:tc>
        <w:tc>
          <w:tcPr/>
          <w:p>
            <w:pPr>
              <w:pStyle w:val="Compact"/>
              <w:jc w:val="left"/>
            </w:pPr>
            <w:r>
              <w:rPr>
                <w:sz w:val="20"/>
              </w:rPr>
              <w:t xml:space="preserve">Без обмежень; verified purchase</w:t>
            </w:r>
          </w:p>
        </w:tc>
        <w:tc>
          <w:tcPr/>
          <w:p>
            <w:pPr>
              <w:pStyle w:val="Compact"/>
              <w:jc w:val="left"/>
            </w:pPr>
            <w:r>
              <w:rPr>
                <w:sz w:val="20"/>
              </w:rPr>
              <w:t xml:space="preserve">Відгук лише за замовленням у статусі «підтверджено»</w:t>
            </w:r>
          </w:p>
        </w:tc>
      </w:tr>
      <w:tr>
        <w:tc>
          <w:tcPr/>
          <w:p>
            <w:pPr>
              <w:pStyle w:val="Compact"/>
              <w:jc w:val="left"/>
            </w:pPr>
            <w:r>
              <w:rPr>
                <w:sz w:val="20"/>
              </w:rPr>
              <w:t xml:space="preserve">Виявлення накруток</w:t>
            </w:r>
          </w:p>
        </w:tc>
        <w:tc>
          <w:tcPr/>
          <w:p>
            <w:pPr>
              <w:pStyle w:val="Compact"/>
              <w:jc w:val="left"/>
            </w:pPr>
            <w:r>
              <w:rPr>
                <w:sz w:val="20"/>
              </w:rPr>
              <w:t xml:space="preserve">Текстові; поведінкові; графові</w:t>
            </w:r>
          </w:p>
        </w:tc>
        <w:tc>
          <w:tcPr/>
          <w:p>
            <w:pPr>
              <w:pStyle w:val="Compact"/>
              <w:jc w:val="left"/>
            </w:pPr>
            <w:r>
              <w:rPr>
                <w:sz w:val="20"/>
              </w:rPr>
              <w:t xml:space="preserve">Поведінкові правила, граф взаємодій, ML-класифікатор на ознаках графа та текстів</w:t>
            </w:r>
          </w:p>
        </w:tc>
      </w:tr>
      <w:tr>
        <w:tc>
          <w:tcPr/>
          <w:p>
            <w:pPr>
              <w:pStyle w:val="Compact"/>
              <w:jc w:val="left"/>
            </w:pPr>
            <w:r>
              <w:rPr>
                <w:sz w:val="20"/>
              </w:rPr>
              <w:t xml:space="preserve">Доставка подій</w:t>
            </w:r>
          </w:p>
        </w:tc>
        <w:tc>
          <w:tcPr/>
          <w:p>
            <w:pPr>
              <w:pStyle w:val="Compact"/>
              <w:jc w:val="left"/>
            </w:pPr>
            <w:r>
              <w:rPr>
                <w:sz w:val="20"/>
              </w:rPr>
              <w:t xml:space="preserve">Подвійний запис; Transactional Outbox</w:t>
            </w:r>
          </w:p>
        </w:tc>
        <w:tc>
          <w:tcPr/>
          <w:p>
            <w:pPr>
              <w:pStyle w:val="Compact"/>
              <w:jc w:val="left"/>
            </w:pPr>
            <w:r>
              <w:rPr>
                <w:sz w:val="20"/>
              </w:rPr>
              <w:t xml:space="preserve">Transactional Outbox</w:t>
            </w:r>
          </w:p>
        </w:tc>
      </w:tr>
      <w:tr>
        <w:tc>
          <w:tcPr/>
          <w:p>
            <w:pPr>
              <w:pStyle w:val="Compact"/>
              <w:jc w:val="left"/>
            </w:pPr>
            <w:r>
              <w:rPr>
                <w:sz w:val="20"/>
              </w:rPr>
              <w:t xml:space="preserve">Структура системи</w:t>
            </w:r>
          </w:p>
        </w:tc>
        <w:tc>
          <w:tcPr/>
          <w:p>
            <w:pPr>
              <w:pStyle w:val="Compact"/>
              <w:jc w:val="left"/>
            </w:pPr>
            <w:r>
              <w:rPr>
                <w:sz w:val="20"/>
              </w:rPr>
              <w:t xml:space="preserve">Мікросервіси; модульний моноліт</w:t>
            </w:r>
          </w:p>
        </w:tc>
        <w:tc>
          <w:tcPr/>
          <w:p>
            <w:pPr>
              <w:pStyle w:val="Compact"/>
              <w:jc w:val="left"/>
            </w:pPr>
            <w:r>
              <w:rPr>
                <w:sz w:val="20"/>
              </w:rPr>
              <w:t xml:space="preserve">Модульний моноліт</w:t>
            </w:r>
          </w:p>
        </w:tc>
      </w:tr>
      <w:tr>
        <w:tc>
          <w:tcPr/>
          <w:p>
            <w:pPr>
              <w:pStyle w:val="Compact"/>
              <w:jc w:val="left"/>
            </w:pPr>
            <w:r>
              <w:rPr>
                <w:sz w:val="20"/>
              </w:rPr>
              <w:t xml:space="preserve">Діагностика за фото</w:t>
            </w:r>
          </w:p>
        </w:tc>
        <w:tc>
          <w:tcPr/>
          <w:p>
            <w:pPr>
              <w:pStyle w:val="Compact"/>
              <w:jc w:val="left"/>
            </w:pPr>
            <w:r>
              <w:rPr>
                <w:sz w:val="20"/>
              </w:rPr>
              <w:t xml:space="preserve">Ручний опис; zero-shot класифікація</w:t>
            </w:r>
          </w:p>
        </w:tc>
        <w:tc>
          <w:tcPr/>
          <w:p>
            <w:pPr>
              <w:pStyle w:val="Compact"/>
              <w:jc w:val="left"/>
            </w:pPr>
            <w:r>
              <w:rPr>
                <w:sz w:val="20"/>
              </w:rPr>
              <w:t xml:space="preserve">Zero-shot класифікація з базою знань, результат підтверджує майстер</w:t>
            </w:r>
          </w:p>
        </w:tc>
      </w:tr>
    </w:tbl>
    <w:bookmarkEnd w:id="27"/>
    <w:bookmarkEnd w:id="28"/>
    <w:bookmarkStart w:id="33" w:name="X5f73ff202af8f9ee468150903717e77c3ec1a41"/>
    <w:p>
      <w:pPr>
        <w:pStyle w:val="Heading2"/>
      </w:pPr>
      <w:r>
        <w:t xml:space="preserve">1.3. Аналіз та порівняння існуючих рішень на ринку готових програмних продуктів</w:t>
      </w:r>
    </w:p>
    <w:bookmarkStart w:id="29" w:name="методологія-аналізу-аналогів"/>
    <w:p>
      <w:pPr>
        <w:pStyle w:val="Heading3"/>
      </w:pPr>
      <w:r>
        <w:t xml:space="preserve">1.3.1. Методологія аналізу аналогів</w:t>
      </w:r>
    </w:p>
    <w:p>
      <w:pPr>
        <w:pStyle w:val="FirstParagraph"/>
      </w:pPr>
      <w:r>
        <w:t xml:space="preserve">Для аналізу обрано три платформи: Kabanchik.ua як найближчий функціональний аналог на українському ринку, а також Thumbtack і TaskRabbit як платформи з аналогічною бізнес-моделлю та публічно задокументованою архітектурою. Жодна з компаній не публікує повну архітектурну документацію, тому аналіз ґрунтується на відкритих первинних джерелах: інженерних доповідях, технічних блогах, відкритих репозиторіях, публічних API та технічних вимогах вакансій. Твердження розмежовано на підтверджені джерелами (позначка [Ф]) та інженерні припущення (позначка [П]). Числові значення Latency і RPS аналогів не включено, оскільки виміряні публічні значення відсутні.</w:t>
      </w:r>
    </w:p>
    <w:bookmarkEnd w:id="29"/>
    <w:bookmarkStart w:id="30" w:name="характеристика-аналогів"/>
    <w:p>
      <w:pPr>
        <w:pStyle w:val="Heading3"/>
      </w:pPr>
      <w:r>
        <w:t xml:space="preserve">1.3.2. Характеристика аналогів</w:t>
      </w:r>
    </w:p>
    <w:p>
      <w:pPr>
        <w:pStyle w:val="FirstParagraph"/>
      </w:pPr>
      <w:r>
        <w:rPr>
          <w:bCs/>
          <w:b/>
        </w:rPr>
        <w:t xml:space="preserve">Kabanchik.ua</w:t>
      </w:r>
      <w:r>
        <w:t xml:space="preserve"> </w:t>
      </w:r>
      <w:r>
        <w:t xml:space="preserve">— моноліт на Python/Flask із сателітами: чат винесено в окремий процес на aiohttp із WebSocket, фонові задачі виконує Celery через RabbitMQ [Ф]. Основна база — PostgreSQL, пошук — Elasticsearch, допоміжне сховище — Redis [Ф]. Оновлення пошукового індексу відбувається із затримкою, тому дані в базі й у пошуку можуть тимчасово розходитися [П]. Механізм, що гарантує доставку події між базою й чергою, не задокументовано [П]. Основне джерело — вакансія 2019 року [8], тому актуальний стан може відрізнятися. Задокументовано застарілий стек: CoffeeScript та Python 3.6 [Ф].</w:t>
      </w:r>
    </w:p>
    <w:p>
      <w:pPr>
        <w:pStyle w:val="BodyText"/>
      </w:pPr>
      <w:r>
        <w:rPr>
          <w:bCs/>
          <w:b/>
        </w:rPr>
        <w:t xml:space="preserve">Thumbtack</w:t>
      </w:r>
      <w:r>
        <w:t xml:space="preserve"> </w:t>
      </w:r>
      <w:r>
        <w:t xml:space="preserve">— система, що розвинулась із PHP/PostgreSQL-моноліту в набір мікросервісів на PHP, Go і Scala у Docker; продакшн працює в AWS, аналітика й машинне навчання — в Google Cloud [Ф]. Міжсервісні виклики виконуються через Apache Thrift, події — через Google Pub/Sub [Ф]. Задокументовано зміни API BigQuery, що порушували конвеєри даних, та необхідність повторних спроб через помилки 500/503 [Ф]. Наскрізну гарантію доставки подій компанія визнала складною задачею [Ф] [9].</w:t>
      </w:r>
    </w:p>
    <w:p>
      <w:pPr>
        <w:pStyle w:val="BodyText"/>
      </w:pPr>
      <w:r>
        <w:rPr>
          <w:bCs/>
          <w:b/>
        </w:rPr>
        <w:t xml:space="preserve">TaskRabbit</w:t>
      </w:r>
      <w:r>
        <w:t xml:space="preserve"> </w:t>
      </w:r>
      <w:r>
        <w:t xml:space="preserve">— система на Ruby on Rails, структуровану як модульний моноліт (Rails engines) з додатковими сервісами на Node.js; декомпозиція триває понад 10 років [Ф]. Для асинхронної взаємодії раніше використовувалась шина resque-bus на Redis [10], нині — Kafka [Ф]. Дані зберігаються в MySQL, PostgreSQL і Snowflake, що виключає ACID-транзакції між доменами [П]. У квітні 2018 р. внаслідок кібератаки вебсайт і застосунок були недоступні близько двох діб [11].</w:t>
      </w:r>
    </w:p>
    <w:bookmarkEnd w:id="30"/>
    <w:bookmarkStart w:id="31" w:name="порівняльна-таблиця"/>
    <w:p>
      <w:pPr>
        <w:pStyle w:val="Heading3"/>
      </w:pPr>
      <w:r>
        <w:t xml:space="preserve">1.3.3. Порівняльна таблиця</w:t>
      </w:r>
    </w:p>
    <w:p>
      <w:pPr>
        <w:pStyle w:val="FirstParagraph"/>
      </w:pPr>
      <w:r>
        <w:t xml:space="preserve">Таблиця 1.2 – Порівняльний аналіз архітектурних рішень проєкту «Сусід» та аналогів</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jc w:val="left"/>
            </w:pPr>
            <w:r>
              <w:rPr>
                <w:b/>
                <w:sz w:val="20"/>
              </w:rPr>
              <w:t xml:space="preserve">Критерій</w:t>
            </w:r>
          </w:p>
        </w:tc>
        <w:tc>
          <w:tcPr/>
          <w:p>
            <w:pPr>
              <w:pStyle w:val="Compact"/>
              <w:jc w:val="left"/>
            </w:pPr>
            <w:r>
              <w:rPr>
                <w:b/>
                <w:sz w:val="20"/>
              </w:rPr>
              <w:t xml:space="preserve">«Сусід»</w:t>
            </w:r>
          </w:p>
        </w:tc>
        <w:tc>
          <w:tcPr/>
          <w:p>
            <w:pPr>
              <w:pStyle w:val="Compact"/>
              <w:jc w:val="left"/>
            </w:pPr>
            <w:r>
              <w:rPr>
                <w:b/>
                <w:sz w:val="20"/>
              </w:rPr>
              <w:t xml:space="preserve">Kabanchik.ua</w:t>
            </w:r>
          </w:p>
        </w:tc>
        <w:tc>
          <w:tcPr/>
          <w:p>
            <w:pPr>
              <w:pStyle w:val="Compact"/>
              <w:jc w:val="left"/>
            </w:pPr>
            <w:r>
              <w:rPr>
                <w:b/>
                <w:sz w:val="20"/>
              </w:rPr>
              <w:t xml:space="preserve">Thumbtack</w:t>
            </w:r>
          </w:p>
        </w:tc>
        <w:tc>
          <w:tcPr/>
          <w:p>
            <w:pPr>
              <w:pStyle w:val="Compact"/>
              <w:jc w:val="left"/>
            </w:pPr>
            <w:r>
              <w:rPr>
                <w:b/>
                <w:sz w:val="20"/>
              </w:rPr>
              <w:t xml:space="preserve">TaskRabbit</w:t>
            </w:r>
          </w:p>
        </w:tc>
      </w:tr>
      <w:tr>
        <w:tc>
          <w:tcPr/>
          <w:p>
            <w:pPr>
              <w:pStyle w:val="Compact"/>
              <w:jc w:val="left"/>
            </w:pPr>
            <w:r>
              <w:rPr>
                <w:sz w:val="20"/>
              </w:rPr>
              <w:t xml:space="preserve">Архітектурний стиль</w:t>
            </w:r>
          </w:p>
        </w:tc>
        <w:tc>
          <w:tcPr/>
          <w:p>
            <w:pPr>
              <w:pStyle w:val="Compact"/>
              <w:jc w:val="left"/>
            </w:pPr>
            <w:r>
              <w:rPr>
                <w:sz w:val="20"/>
              </w:rPr>
              <w:t xml:space="preserve">Модульний моноліт</w:t>
            </w:r>
          </w:p>
        </w:tc>
        <w:tc>
          <w:tcPr/>
          <w:p>
            <w:pPr>
              <w:pStyle w:val="Compact"/>
              <w:jc w:val="left"/>
            </w:pPr>
            <w:r>
              <w:rPr>
                <w:sz w:val="20"/>
              </w:rPr>
              <w:t xml:space="preserve">Моноліт із сателітами</w:t>
            </w:r>
          </w:p>
        </w:tc>
        <w:tc>
          <w:tcPr/>
          <w:p>
            <w:pPr>
              <w:pStyle w:val="Compact"/>
              <w:jc w:val="left"/>
            </w:pPr>
            <w:r>
              <w:rPr>
                <w:sz w:val="20"/>
              </w:rPr>
              <w:t xml:space="preserve">Поліглотні мікросервіси (з PHP-моноліту)</w:t>
            </w:r>
          </w:p>
        </w:tc>
        <w:tc>
          <w:tcPr/>
          <w:p>
            <w:pPr>
              <w:pStyle w:val="Compact"/>
              <w:jc w:val="left"/>
            </w:pPr>
            <w:r>
              <w:rPr>
                <w:sz w:val="20"/>
              </w:rPr>
              <w:t xml:space="preserve">Модульний моноліт (Rails engines) і мікросервіси</w:t>
            </w:r>
          </w:p>
        </w:tc>
      </w:tr>
      <w:tr>
        <w:tc>
          <w:tcPr/>
          <w:p>
            <w:pPr>
              <w:pStyle w:val="Compact"/>
              <w:jc w:val="left"/>
            </w:pPr>
            <w:r>
              <w:rPr>
                <w:sz w:val="20"/>
              </w:rPr>
              <w:t xml:space="preserve">Мови та фреймворки</w:t>
            </w:r>
          </w:p>
        </w:tc>
        <w:tc>
          <w:tcPr/>
          <w:p>
            <w:pPr>
              <w:pStyle w:val="Compact"/>
              <w:jc w:val="left"/>
            </w:pPr>
            <w:r>
              <w:rPr>
                <w:sz w:val="20"/>
              </w:rPr>
              <w:t xml:space="preserve">Python / Flask</w:t>
            </w:r>
          </w:p>
        </w:tc>
        <w:tc>
          <w:tcPr/>
          <w:p>
            <w:pPr>
              <w:pStyle w:val="Compact"/>
              <w:jc w:val="left"/>
            </w:pPr>
            <w:r>
              <w:rPr>
                <w:sz w:val="20"/>
              </w:rPr>
              <w:t xml:space="preserve">Python / Flask, aiohttp, CoffeeScript</w:t>
            </w:r>
          </w:p>
        </w:tc>
        <w:tc>
          <w:tcPr/>
          <w:p>
            <w:pPr>
              <w:pStyle w:val="Compact"/>
              <w:jc w:val="left"/>
            </w:pPr>
            <w:r>
              <w:rPr>
                <w:sz w:val="20"/>
              </w:rPr>
              <w:t xml:space="preserve">PHP, Go, Scala</w:t>
            </w:r>
          </w:p>
        </w:tc>
        <w:tc>
          <w:tcPr/>
          <w:p>
            <w:pPr>
              <w:pStyle w:val="Compact"/>
              <w:jc w:val="left"/>
            </w:pPr>
            <w:r>
              <w:rPr>
                <w:sz w:val="20"/>
              </w:rPr>
              <w:t xml:space="preserve">Ruby on Rails, Node.js</w:t>
            </w:r>
          </w:p>
        </w:tc>
      </w:tr>
      <w:tr>
        <w:tc>
          <w:tcPr/>
          <w:p>
            <w:pPr>
              <w:pStyle w:val="Compact"/>
              <w:jc w:val="left"/>
            </w:pPr>
            <w:r>
              <w:rPr>
                <w:sz w:val="20"/>
              </w:rPr>
              <w:t xml:space="preserve">Моделі виконання</w:t>
            </w:r>
          </w:p>
        </w:tc>
        <w:tc>
          <w:tcPr/>
          <w:p>
            <w:pPr>
              <w:pStyle w:val="Compact"/>
              <w:jc w:val="left"/>
            </w:pPr>
            <w:r>
              <w:rPr>
                <w:sz w:val="20"/>
              </w:rPr>
              <w:t xml:space="preserve">Єдина (WSGI і воркери Celery)</w:t>
            </w:r>
          </w:p>
        </w:tc>
        <w:tc>
          <w:tcPr/>
          <w:p>
            <w:pPr>
              <w:pStyle w:val="Compact"/>
              <w:jc w:val="left"/>
            </w:pPr>
            <w:r>
              <w:rPr>
                <w:sz w:val="20"/>
              </w:rPr>
              <w:t xml:space="preserve">Дві (WSGI та asyncio)</w:t>
            </w:r>
          </w:p>
        </w:tc>
        <w:tc>
          <w:tcPr/>
          <w:p>
            <w:pPr>
              <w:pStyle w:val="Compact"/>
              <w:jc w:val="left"/>
            </w:pPr>
            <w:r>
              <w:rPr>
                <w:sz w:val="20"/>
              </w:rPr>
              <w:t xml:space="preserve">Різнорідні</w:t>
            </w:r>
          </w:p>
        </w:tc>
        <w:tc>
          <w:tcPr/>
          <w:p>
            <w:pPr>
              <w:pStyle w:val="Compact"/>
              <w:jc w:val="left"/>
            </w:pPr>
            <w:r>
              <w:rPr>
                <w:sz w:val="20"/>
              </w:rPr>
              <w:t xml:space="preserve">Різнорідні</w:t>
            </w:r>
          </w:p>
        </w:tc>
      </w:tr>
      <w:tr>
        <w:tc>
          <w:tcPr/>
          <w:p>
            <w:pPr>
              <w:pStyle w:val="Compact"/>
              <w:jc w:val="left"/>
            </w:pPr>
            <w:r>
              <w:rPr>
                <w:sz w:val="20"/>
              </w:rPr>
              <w:t xml:space="preserve">Сховища даних</w:t>
            </w:r>
          </w:p>
        </w:tc>
        <w:tc>
          <w:tcPr/>
          <w:p>
            <w:pPr>
              <w:pStyle w:val="Compact"/>
              <w:jc w:val="left"/>
            </w:pPr>
            <w:r>
              <w:rPr>
                <w:sz w:val="20"/>
              </w:rPr>
              <w:t xml:space="preserve">PostgreSQL</w:t>
            </w:r>
          </w:p>
        </w:tc>
        <w:tc>
          <w:tcPr/>
          <w:p>
            <w:pPr>
              <w:pStyle w:val="Compact"/>
              <w:jc w:val="left"/>
            </w:pPr>
            <w:r>
              <w:rPr>
                <w:sz w:val="20"/>
              </w:rPr>
              <w:t xml:space="preserve">PostgreSQL, Elasticsearch, Redis</w:t>
            </w:r>
          </w:p>
        </w:tc>
        <w:tc>
          <w:tcPr/>
          <w:p>
            <w:pPr>
              <w:pStyle w:val="Compact"/>
              <w:jc w:val="left"/>
            </w:pPr>
            <w:r>
              <w:rPr>
                <w:sz w:val="20"/>
              </w:rPr>
              <w:t xml:space="preserve">PostgreSQL, DynamoDB, Elasticsearch, BigQuery</w:t>
            </w:r>
          </w:p>
        </w:tc>
        <w:tc>
          <w:tcPr/>
          <w:p>
            <w:pPr>
              <w:pStyle w:val="Compact"/>
              <w:jc w:val="left"/>
            </w:pPr>
            <w:r>
              <w:rPr>
                <w:sz w:val="20"/>
              </w:rPr>
              <w:t xml:space="preserve">MySQL, PostgreSQL, Snowflake</w:t>
            </w:r>
          </w:p>
        </w:tc>
      </w:tr>
      <w:tr>
        <w:tc>
          <w:tcPr/>
          <w:p>
            <w:pPr>
              <w:pStyle w:val="Compact"/>
              <w:jc w:val="left"/>
            </w:pPr>
            <w:r>
              <w:rPr>
                <w:sz w:val="20"/>
              </w:rPr>
              <w:t xml:space="preserve">Джерело істини</w:t>
            </w:r>
          </w:p>
        </w:tc>
        <w:tc>
          <w:tcPr/>
          <w:p>
            <w:pPr>
              <w:pStyle w:val="Compact"/>
              <w:jc w:val="left"/>
            </w:pPr>
            <w:r>
              <w:rPr>
                <w:sz w:val="20"/>
              </w:rPr>
              <w:t xml:space="preserve">Єдине (PostgreSQL)</w:t>
            </w:r>
          </w:p>
        </w:tc>
        <w:tc>
          <w:tcPr/>
          <w:p>
            <w:pPr>
              <w:pStyle w:val="Compact"/>
              <w:jc w:val="left"/>
            </w:pPr>
            <w:r>
              <w:rPr>
                <w:sz w:val="20"/>
              </w:rPr>
              <w:t xml:space="preserve">PostgreSQL із вторинним індексом</w:t>
            </w:r>
          </w:p>
        </w:tc>
        <w:tc>
          <w:tcPr/>
          <w:p>
            <w:pPr>
              <w:pStyle w:val="Compact"/>
              <w:jc w:val="left"/>
            </w:pPr>
            <w:r>
              <w:rPr>
                <w:sz w:val="20"/>
              </w:rPr>
              <w:t xml:space="preserve">Розподілене між сервісами</w:t>
            </w:r>
          </w:p>
        </w:tc>
        <w:tc>
          <w:tcPr/>
          <w:p>
            <w:pPr>
              <w:pStyle w:val="Compact"/>
              <w:jc w:val="left"/>
            </w:pPr>
            <w:r>
              <w:rPr>
                <w:sz w:val="20"/>
              </w:rPr>
              <w:t xml:space="preserve">Розподілене між доменами</w:t>
            </w:r>
          </w:p>
        </w:tc>
      </w:tr>
      <w:tr>
        <w:tc>
          <w:tcPr/>
          <w:p>
            <w:pPr>
              <w:pStyle w:val="Compact"/>
              <w:jc w:val="left"/>
            </w:pPr>
            <w:r>
              <w:rPr>
                <w:sz w:val="20"/>
              </w:rPr>
              <w:t xml:space="preserve">Узгодженість між сховищами</w:t>
            </w:r>
          </w:p>
        </w:tc>
        <w:tc>
          <w:tcPr/>
          <w:p>
            <w:pPr>
              <w:pStyle w:val="Compact"/>
              <w:jc w:val="left"/>
            </w:pPr>
            <w:r>
              <w:rPr>
                <w:sz w:val="20"/>
              </w:rPr>
              <w:t xml:space="preserve">ACID в межах однієї СУБД</w:t>
            </w:r>
          </w:p>
        </w:tc>
        <w:tc>
          <w:tcPr/>
          <w:p>
            <w:pPr>
              <w:pStyle w:val="Compact"/>
              <w:jc w:val="left"/>
            </w:pPr>
            <w:r>
              <w:rPr>
                <w:sz w:val="20"/>
              </w:rPr>
              <w:t xml:space="preserve">Eventual consistency індексу</w:t>
            </w:r>
          </w:p>
        </w:tc>
        <w:tc>
          <w:tcPr/>
          <w:p>
            <w:pPr>
              <w:pStyle w:val="Compact"/>
              <w:jc w:val="left"/>
            </w:pPr>
            <w:r>
              <w:rPr>
                <w:sz w:val="20"/>
              </w:rPr>
              <w:t xml:space="preserve">Eventual consistency</w:t>
            </w:r>
          </w:p>
        </w:tc>
        <w:tc>
          <w:tcPr/>
          <w:p>
            <w:pPr>
              <w:pStyle w:val="Compact"/>
              <w:jc w:val="left"/>
            </w:pPr>
            <w:r>
              <w:rPr>
                <w:sz w:val="20"/>
              </w:rPr>
              <w:t xml:space="preserve">Eventual consistency, без ACID між доменами</w:t>
            </w:r>
          </w:p>
        </w:tc>
      </w:tr>
      <w:tr>
        <w:tc>
          <w:tcPr/>
          <w:p>
            <w:pPr>
              <w:pStyle w:val="Compact"/>
              <w:jc w:val="left"/>
            </w:pPr>
            <w:r>
              <w:rPr>
                <w:sz w:val="20"/>
              </w:rPr>
              <w:t xml:space="preserve">Гарантована доставка подій</w:t>
            </w:r>
          </w:p>
        </w:tc>
        <w:tc>
          <w:tcPr/>
          <w:p>
            <w:pPr>
              <w:pStyle w:val="Compact"/>
              <w:jc w:val="left"/>
            </w:pPr>
            <w:r>
              <w:rPr>
                <w:sz w:val="20"/>
              </w:rPr>
              <w:t xml:space="preserve">Transactional Outbox</w:t>
            </w:r>
          </w:p>
        </w:tc>
        <w:tc>
          <w:tcPr/>
          <w:p>
            <w:pPr>
              <w:pStyle w:val="Compact"/>
              <w:jc w:val="left"/>
            </w:pPr>
            <w:r>
              <w:rPr>
                <w:sz w:val="20"/>
              </w:rPr>
              <w:t xml:space="preserve">Не задокументовано (ризик dual write)</w:t>
            </w:r>
          </w:p>
        </w:tc>
        <w:tc>
          <w:tcPr/>
          <w:p>
            <w:pPr>
              <w:pStyle w:val="Compact"/>
              <w:jc w:val="left"/>
            </w:pPr>
            <w:r>
              <w:rPr>
                <w:sz w:val="20"/>
              </w:rPr>
              <w:t xml:space="preserve">Власні засоби, визнано складною задачею</w:t>
            </w:r>
          </w:p>
        </w:tc>
        <w:tc>
          <w:tcPr/>
          <w:p>
            <w:pPr>
              <w:pStyle w:val="Compact"/>
              <w:jc w:val="left"/>
            </w:pPr>
            <w:r>
              <w:rPr>
                <w:sz w:val="20"/>
              </w:rPr>
              <w:t xml:space="preserve">Outbox не підтверджено (dual write MySQL і Kafka)</w:t>
            </w:r>
          </w:p>
        </w:tc>
      </w:tr>
      <w:tr>
        <w:tc>
          <w:tcPr/>
          <w:p>
            <w:pPr>
              <w:pStyle w:val="Compact"/>
              <w:jc w:val="left"/>
            </w:pPr>
            <w:r>
              <w:rPr>
                <w:sz w:val="20"/>
              </w:rPr>
              <w:t xml:space="preserve">Брокер / шина подій</w:t>
            </w:r>
          </w:p>
        </w:tc>
        <w:tc>
          <w:tcPr/>
          <w:p>
            <w:pPr>
              <w:pStyle w:val="Compact"/>
              <w:jc w:val="left"/>
            </w:pPr>
            <w:r>
              <w:rPr>
                <w:sz w:val="20"/>
              </w:rPr>
              <w:t xml:space="preserve">Redis (Celery)</w:t>
            </w:r>
          </w:p>
        </w:tc>
        <w:tc>
          <w:tcPr/>
          <w:p>
            <w:pPr>
              <w:pStyle w:val="Compact"/>
              <w:jc w:val="left"/>
            </w:pPr>
            <w:r>
              <w:rPr>
                <w:sz w:val="20"/>
              </w:rPr>
              <w:t xml:space="preserve">RabbitMQ (Celery)</w:t>
            </w:r>
          </w:p>
        </w:tc>
        <w:tc>
          <w:tcPr/>
          <w:p>
            <w:pPr>
              <w:pStyle w:val="Compact"/>
              <w:jc w:val="left"/>
            </w:pPr>
            <w:r>
              <w:rPr>
                <w:sz w:val="20"/>
              </w:rPr>
              <w:t xml:space="preserve">Google Cloud Pub/Sub, Thrift RPC</w:t>
            </w:r>
          </w:p>
        </w:tc>
        <w:tc>
          <w:tcPr/>
          <w:p>
            <w:pPr>
              <w:pStyle w:val="Compact"/>
              <w:jc w:val="left"/>
            </w:pPr>
            <w:r>
              <w:rPr>
                <w:sz w:val="20"/>
              </w:rPr>
              <w:t xml:space="preserve">Kafka (раніше resque-bus на Redis)</w:t>
            </w:r>
          </w:p>
        </w:tc>
      </w:tr>
      <w:tr>
        <w:tc>
          <w:tcPr/>
          <w:p>
            <w:pPr>
              <w:pStyle w:val="Compact"/>
              <w:jc w:val="left"/>
            </w:pPr>
            <w:r>
              <w:rPr>
                <w:sz w:val="20"/>
              </w:rPr>
              <w:t xml:space="preserve">Виконання важких обчислень</w:t>
            </w:r>
          </w:p>
        </w:tc>
        <w:tc>
          <w:tcPr/>
          <w:p>
            <w:pPr>
              <w:pStyle w:val="Compact"/>
              <w:jc w:val="left"/>
            </w:pPr>
            <w:r>
              <w:rPr>
                <w:sz w:val="20"/>
              </w:rPr>
              <w:t xml:space="preserve">Асинхронно, воркери Celery</w:t>
            </w:r>
          </w:p>
        </w:tc>
        <w:tc>
          <w:tcPr/>
          <w:p>
            <w:pPr>
              <w:pStyle w:val="Compact"/>
              <w:jc w:val="left"/>
            </w:pPr>
            <w:r>
              <w:rPr>
                <w:sz w:val="20"/>
              </w:rPr>
              <w:t xml:space="preserve">Частково в синхронному циклі запиту Flask</w:t>
            </w:r>
          </w:p>
        </w:tc>
        <w:tc>
          <w:tcPr/>
          <w:p>
            <w:pPr>
              <w:pStyle w:val="Compact"/>
              <w:jc w:val="left"/>
            </w:pPr>
            <w:r>
              <w:rPr>
                <w:sz w:val="20"/>
              </w:rPr>
              <w:t xml:space="preserve">Окремі сервіси та хмарна аналітика</w:t>
            </w:r>
          </w:p>
        </w:tc>
        <w:tc>
          <w:tcPr/>
          <w:p>
            <w:pPr>
              <w:pStyle w:val="Compact"/>
              <w:jc w:val="left"/>
            </w:pPr>
            <w:r>
              <w:rPr>
                <w:sz w:val="20"/>
              </w:rPr>
              <w:t xml:space="preserve">Не задокументовано</w:t>
            </w:r>
          </w:p>
        </w:tc>
      </w:tr>
      <w:tr>
        <w:tc>
          <w:tcPr/>
          <w:p>
            <w:pPr>
              <w:pStyle w:val="Compact"/>
              <w:jc w:val="left"/>
            </w:pPr>
            <w:r>
              <w:rPr>
                <w:sz w:val="20"/>
              </w:rPr>
              <w:t xml:space="preserve">ML-компоненти</w:t>
            </w:r>
          </w:p>
        </w:tc>
        <w:tc>
          <w:tcPr/>
          <w:p>
            <w:pPr>
              <w:pStyle w:val="Compact"/>
              <w:jc w:val="left"/>
            </w:pPr>
            <w:r>
              <w:rPr>
                <w:sz w:val="20"/>
              </w:rPr>
              <w:t xml:space="preserve">Локальні відкриті моделі</w:t>
            </w:r>
          </w:p>
        </w:tc>
        <w:tc>
          <w:tcPr/>
          <w:p>
            <w:pPr>
              <w:pStyle w:val="Compact"/>
              <w:jc w:val="left"/>
            </w:pPr>
            <w:r>
              <w:rPr>
                <w:sz w:val="20"/>
              </w:rPr>
              <w:t xml:space="preserve">Не задокументовано</w:t>
            </w:r>
          </w:p>
        </w:tc>
        <w:tc>
          <w:tcPr/>
          <w:p>
            <w:pPr>
              <w:pStyle w:val="Compact"/>
              <w:jc w:val="left"/>
            </w:pPr>
            <w:r>
              <w:rPr>
                <w:sz w:val="20"/>
              </w:rPr>
              <w:t xml:space="preserve">Хмарна аналітика (BigQuery, Spark)</w:t>
            </w:r>
          </w:p>
        </w:tc>
        <w:tc>
          <w:tcPr/>
          <w:p>
            <w:pPr>
              <w:pStyle w:val="Compact"/>
              <w:jc w:val="left"/>
            </w:pPr>
            <w:r>
              <w:rPr>
                <w:sz w:val="20"/>
              </w:rPr>
              <w:t xml:space="preserve">Не задокументовано</w:t>
            </w:r>
          </w:p>
        </w:tc>
      </w:tr>
      <w:tr>
        <w:tc>
          <w:tcPr/>
          <w:p>
            <w:pPr>
              <w:pStyle w:val="Compact"/>
              <w:jc w:val="left"/>
            </w:pPr>
            <w:r>
              <w:rPr>
                <w:sz w:val="20"/>
              </w:rPr>
              <w:t xml:space="preserve">Залежність від керованих хмарних сервісів</w:t>
            </w:r>
          </w:p>
        </w:tc>
        <w:tc>
          <w:tcPr/>
          <w:p>
            <w:pPr>
              <w:pStyle w:val="Compact"/>
              <w:jc w:val="left"/>
            </w:pPr>
            <w:r>
              <w:rPr>
                <w:sz w:val="20"/>
              </w:rPr>
              <w:t xml:space="preserve">Відсутня</w:t>
            </w:r>
          </w:p>
        </w:tc>
        <w:tc>
          <w:tcPr/>
          <w:p>
            <w:pPr>
              <w:pStyle w:val="Compact"/>
              <w:jc w:val="left"/>
            </w:pPr>
            <w:r>
              <w:rPr>
                <w:sz w:val="20"/>
              </w:rPr>
              <w:t xml:space="preserve">Не виявлено</w:t>
            </w:r>
          </w:p>
        </w:tc>
        <w:tc>
          <w:tcPr/>
          <w:p>
            <w:pPr>
              <w:pStyle w:val="Compact"/>
              <w:jc w:val="left"/>
            </w:pPr>
            <w:r>
              <w:rPr>
                <w:sz w:val="20"/>
              </w:rPr>
              <w:t xml:space="preserve">Висока (AWS, GCP)</w:t>
            </w:r>
          </w:p>
        </w:tc>
        <w:tc>
          <w:tcPr/>
          <w:p>
            <w:pPr>
              <w:pStyle w:val="Compact"/>
              <w:jc w:val="left"/>
            </w:pPr>
            <w:r>
              <w:rPr>
                <w:sz w:val="20"/>
              </w:rPr>
              <w:t xml:space="preserve">Часткова (Snowflake)</w:t>
            </w:r>
          </w:p>
        </w:tc>
      </w:tr>
      <w:tr>
        <w:tc>
          <w:tcPr/>
          <w:p>
            <w:pPr>
              <w:pStyle w:val="Compact"/>
              <w:jc w:val="left"/>
            </w:pPr>
            <w:r>
              <w:rPr>
                <w:sz w:val="20"/>
              </w:rPr>
              <w:t xml:space="preserve">Ізоляція відмов</w:t>
            </w:r>
          </w:p>
        </w:tc>
        <w:tc>
          <w:tcPr/>
          <w:p>
            <w:pPr>
              <w:pStyle w:val="Compact"/>
              <w:jc w:val="left"/>
            </w:pPr>
            <w:r>
              <w:rPr>
                <w:sz w:val="20"/>
              </w:rPr>
              <w:t xml:space="preserve">Бот як окремий клієнт API; окремі черги задач</w:t>
            </w:r>
          </w:p>
        </w:tc>
        <w:tc>
          <w:tcPr/>
          <w:p>
            <w:pPr>
              <w:pStyle w:val="Compact"/>
              <w:jc w:val="left"/>
            </w:pPr>
            <w:r>
              <w:rPr>
                <w:sz w:val="20"/>
              </w:rPr>
              <w:t xml:space="preserve">Не задокументовано</w:t>
            </w:r>
          </w:p>
        </w:tc>
        <w:tc>
          <w:tcPr/>
          <w:p>
            <w:pPr>
              <w:pStyle w:val="Compact"/>
              <w:jc w:val="left"/>
            </w:pPr>
            <w:r>
              <w:rPr>
                <w:sz w:val="20"/>
              </w:rPr>
              <w:t xml:space="preserve">Наявна, з масовими повторними спробами (500/503)</w:t>
            </w:r>
          </w:p>
        </w:tc>
        <w:tc>
          <w:tcPr/>
          <w:p>
            <w:pPr>
              <w:pStyle w:val="Compact"/>
              <w:jc w:val="left"/>
            </w:pPr>
            <w:r>
              <w:rPr>
                <w:sz w:val="20"/>
              </w:rPr>
              <w:t xml:space="preserve">Недостатня: інцидент 2018 р.</w:t>
            </w:r>
          </w:p>
        </w:tc>
      </w:tr>
      <w:tr>
        <w:tc>
          <w:tcPr/>
          <w:p>
            <w:pPr>
              <w:pStyle w:val="Compact"/>
              <w:jc w:val="left"/>
            </w:pPr>
            <w:r>
              <w:rPr>
                <w:sz w:val="20"/>
              </w:rPr>
              <w:t xml:space="preserve">Масштабування</w:t>
            </w:r>
          </w:p>
        </w:tc>
        <w:tc>
          <w:tcPr/>
          <w:p>
            <w:pPr>
              <w:pStyle w:val="Compact"/>
              <w:jc w:val="left"/>
            </w:pPr>
            <w:r>
              <w:rPr>
                <w:sz w:val="20"/>
              </w:rPr>
              <w:t xml:space="preserve">Вертикальне (один вузол)</w:t>
            </w:r>
          </w:p>
        </w:tc>
        <w:tc>
          <w:tcPr/>
          <w:p>
            <w:pPr>
              <w:pStyle w:val="Compact"/>
              <w:jc w:val="left"/>
            </w:pPr>
            <w:r>
              <w:rPr>
                <w:sz w:val="20"/>
              </w:rPr>
              <w:t xml:space="preserve">Переважно вертикальне</w:t>
            </w:r>
          </w:p>
        </w:tc>
        <w:tc>
          <w:tcPr/>
          <w:p>
            <w:pPr>
              <w:pStyle w:val="Compact"/>
              <w:jc w:val="left"/>
            </w:pPr>
            <w:r>
              <w:rPr>
                <w:sz w:val="20"/>
              </w:rPr>
              <w:t xml:space="preserve">Горизонтальне; запис обмежено однією master-нодою</w:t>
            </w:r>
          </w:p>
        </w:tc>
        <w:tc>
          <w:tcPr/>
          <w:p>
            <w:pPr>
              <w:pStyle w:val="Compact"/>
              <w:jc w:val="left"/>
            </w:pPr>
            <w:r>
              <w:rPr>
                <w:sz w:val="20"/>
              </w:rPr>
              <w:t xml:space="preserve">Горизонтальне для сервісів</w:t>
            </w:r>
          </w:p>
        </w:tc>
      </w:tr>
      <w:tr>
        <w:tc>
          <w:tcPr/>
          <w:p>
            <w:pPr>
              <w:pStyle w:val="Compact"/>
              <w:jc w:val="left"/>
            </w:pPr>
            <w:r>
              <w:rPr>
                <w:sz w:val="20"/>
              </w:rPr>
              <w:t xml:space="preserve">Операційна складність</w:t>
            </w:r>
          </w:p>
        </w:tc>
        <w:tc>
          <w:tcPr/>
          <w:p>
            <w:pPr>
              <w:pStyle w:val="Compact"/>
              <w:jc w:val="left"/>
            </w:pPr>
            <w:r>
              <w:rPr>
                <w:sz w:val="20"/>
              </w:rPr>
              <w:t xml:space="preserve">Низька</w:t>
            </w:r>
          </w:p>
        </w:tc>
        <w:tc>
          <w:tcPr/>
          <w:p>
            <w:pPr>
              <w:pStyle w:val="Compact"/>
              <w:jc w:val="left"/>
            </w:pPr>
            <w:r>
              <w:rPr>
                <w:sz w:val="20"/>
              </w:rPr>
              <w:t xml:space="preserve">Середня</w:t>
            </w:r>
          </w:p>
        </w:tc>
        <w:tc>
          <w:tcPr/>
          <w:p>
            <w:pPr>
              <w:pStyle w:val="Compact"/>
              <w:jc w:val="left"/>
            </w:pPr>
            <w:r>
              <w:rPr>
                <w:sz w:val="20"/>
              </w:rPr>
              <w:t xml:space="preserve">Висока (3 мови, мультихмара)</w:t>
            </w:r>
          </w:p>
        </w:tc>
        <w:tc>
          <w:tcPr/>
          <w:p>
            <w:pPr>
              <w:pStyle w:val="Compact"/>
              <w:jc w:val="left"/>
            </w:pPr>
            <w:r>
              <w:rPr>
                <w:sz w:val="20"/>
              </w:rPr>
              <w:t xml:space="preserve">Висока</w:t>
            </w:r>
          </w:p>
        </w:tc>
      </w:tr>
      <w:tr>
        <w:tc>
          <w:tcPr/>
          <w:p>
            <w:pPr>
              <w:pStyle w:val="Compact"/>
              <w:jc w:val="left"/>
            </w:pPr>
            <w:r>
              <w:rPr>
                <w:sz w:val="20"/>
              </w:rPr>
              <w:t xml:space="preserve">Вартість ПЗ</w:t>
            </w:r>
          </w:p>
        </w:tc>
        <w:tc>
          <w:tcPr/>
          <w:p>
            <w:pPr>
              <w:pStyle w:val="Compact"/>
              <w:jc w:val="left"/>
            </w:pPr>
            <w:r>
              <w:rPr>
                <w:sz w:val="20"/>
              </w:rPr>
              <w:t xml:space="preserve">Безкоштовне, локальний запуск</w:t>
            </w:r>
          </w:p>
        </w:tc>
        <w:tc>
          <w:tcPr/>
          <w:p>
            <w:pPr>
              <w:pStyle w:val="Compact"/>
              <w:jc w:val="left"/>
            </w:pPr>
            <w:r>
              <w:rPr>
                <w:sz w:val="20"/>
              </w:rPr>
              <w:t xml:space="preserve">Комерційна інфраструктура</w:t>
            </w:r>
          </w:p>
        </w:tc>
        <w:tc>
          <w:tcPr/>
          <w:p>
            <w:pPr>
              <w:pStyle w:val="Compact"/>
              <w:jc w:val="left"/>
            </w:pPr>
            <w:r>
              <w:rPr>
                <w:sz w:val="20"/>
              </w:rPr>
              <w:t xml:space="preserve">Комерційні хмарні сервіси</w:t>
            </w:r>
          </w:p>
        </w:tc>
        <w:tc>
          <w:tcPr/>
          <w:p>
            <w:pPr>
              <w:pStyle w:val="Compact"/>
              <w:jc w:val="left"/>
            </w:pPr>
            <w:r>
              <w:rPr>
                <w:sz w:val="20"/>
              </w:rPr>
              <w:t xml:space="preserve">Комерційні хмарні сервіси</w:t>
            </w:r>
          </w:p>
        </w:tc>
      </w:tr>
    </w:tbl>
    <w:p>
      <w:pPr>
        <w:pStyle w:val="BodyText"/>
      </w:pPr>
      <w:r>
        <w:t xml:space="preserve">Примітка. Відсутність документації не доводить відсутності механізму, тому відповідні оцінки є інженерними припущеннями. Оцінка ізоляції відмов TaskRabbit є інтерпретацією автора: інцидент квітня 2018 р. був інцидентом безпеки.</w:t>
      </w:r>
    </w:p>
    <w:bookmarkEnd w:id="31"/>
    <w:bookmarkStart w:id="32" w:name="аналітичний-висновок-до-підрозділу-1.3"/>
    <w:p>
      <w:pPr>
        <w:pStyle w:val="Heading3"/>
      </w:pPr>
      <w:r>
        <w:t xml:space="preserve">1.3.4. Аналітичний висновок до підрозділу 1.3</w:t>
      </w:r>
    </w:p>
    <w:p>
      <w:pPr>
        <w:pStyle w:val="FirstParagraph"/>
      </w:pPr>
      <w:r>
        <w:t xml:space="preserve">Порівняльний аналіз аналогів показує, що їхні ключові недоліки зумовлені не монолітною чи мікросервісною структурою як такою, а способом організації даних, подій та обчислень. Спільною для всіх трьох систем є проблема подвійного запису (dual write): зміна стану в основній СУБД і публікація відповідної події або оновлення вторинного сховища виконуються як дві незалежні операції без спільної транзакції. Для TaskRabbit застосування патерну Transactional Outbox у відкритих джерелах не підтверджено, а взаємодія між MySQL і Kafka (раніше — між MySQL і шиною resque-bus на Redis) організована як подвійний запис [10]. Для Kabanchik.ua механізм синхронізації PostgreSQL та Elasticsearch не задокументовано, тому ризик розбіжності пошукового індексу з джерелом істини є інженерним припущенням, а не встановленим фактом. Thumbtack, за власними технічними публікаціями, реалізував наскрізні гарантії доставки подій власними засобами й визнав це складною задачею [9].</w:t>
      </w:r>
    </w:p>
    <w:p>
      <w:pPr>
        <w:pStyle w:val="BodyText"/>
      </w:pPr>
      <w:r>
        <w:t xml:space="preserve">Другим системним чинником є розподіл даних між кількома сховищами з узгодженістю в кінцевому підсумку (eventual consistency). Поліглотне зберігання TaskRabbit (MySQL, PostgreSQL, Snowflake) та Thumbtack (PostgreSQL, DynamoDB, Elasticsearch, BigQuery) унеможливлює ACID-транзакції між доменами й переносить забезпечення цілісності на рівень прикладної логіки. Третім чинником є виконання обчислювально важких операцій у синхронному циклі HTTP-запиту. У Kabanchik.ua до таких операцій належать ранжування виконавців за геолокацією та аналіз фотографій [8], через що час відповіді й пропускна здатність WSGI-воркерів залежать від тривалості обчислень. Вартість супроводу додатково підвищують співіснування двох моделей виконання (WSGI та asyncio) і застарілий стек: CoffeeScript та Python 3.6, підтримку якого припинено у грудні 2021 р.</w:t>
      </w:r>
    </w:p>
    <w:p>
      <w:pPr>
        <w:pStyle w:val="BodyText"/>
      </w:pPr>
      <w:r>
        <w:t xml:space="preserve">Для Thumbtack визначальними чинниками є залежність від керованих хмарних сервісів (задокументовано випадки, коли зміни API BigQuery порушували роботу продакшн-конвеєрів [9]), необхідність масових повторних спроб через помилки 500/503, мультихмарні витрати на трафік, обмеження масштабування запису однією master-нодою та операційна складність підтримки трьох мов програмування. Досвід TaskRabbit, декомпозиція моноліту якого триває понад десять років, свідчить, що перехід до мікросервісів без сформованих меж доменів і механізмів надійної доставки подій не усуває технічний борг, а розподіляє його між компонентами. Інцидент квітня 2018 р., через який вебсайт і мобільний застосунок TaskRabbit були недоступні близько двох діб [11], є задокументованим фактом; висновок про недостатню ізоляцію відмов як чинник масштабу цього простою є інтерпретацією автора.</w:t>
      </w:r>
    </w:p>
    <w:p>
      <w:pPr>
        <w:pStyle w:val="BodyText"/>
      </w:pPr>
      <w:r>
        <w:t xml:space="preserve">Архітектура проєкту «Сусід» усуває виявлені причини, зберігаючи монолітну структуру. Модульний моноліт на Python/Flask з явними межами доменних модулів забезпечує єдину модель виконання та єдиний процес розгортання й водночас зберігає можливість виокремити модулі в сервіси за обґрунтованої потреби. PostgreSQL як єдине джерело істини дає змогу виконувати зміни доменного стану в межах однієї ACID-транзакції, а похідні дані (рейтинги, результати аналізу зображень, векторні представлення) є відновлюваними. Патерн Transactional Outbox усуває проблему подвійного запису: подія фіксується в таблиці outbox у тій самій транзакції, що й бізнес-зміна, а окремий ретранслятор публікує її до брокера, що забезпечує семантику доставки «щонайменше один раз» за умови ідемпотентності обробників. Перерахунок рейтингу та аналіз фотографій винесено в асинхронні воркери Celery, тому час відповіді REST API не залежить від тривалості обчислень; розподіл задач за окремими чергами обмежує вплив збою ML-задач на обслуговування запитів. Локальне виконання відкритих моделей усуває залежність від API керованих хмарних сервісів, а Telegram-бот реалізовано як окремий клієнт REST API, тож його збій не впливає на ядро системи.</w:t>
      </w:r>
    </w:p>
    <w:p>
      <w:pPr>
        <w:pStyle w:val="BodyText"/>
      </w:pPr>
      <w:r>
        <w:t xml:space="preserve">Запропоноване рішення має три усвідомлені обмеження:</w:t>
      </w:r>
    </w:p>
    <w:p>
      <w:pPr>
        <w:numPr>
          <w:ilvl w:val="0"/>
          <w:numId w:val="1002"/>
        </w:numPr>
        <w:pStyle w:val="Compact"/>
      </w:pPr>
      <w:r>
        <w:t xml:space="preserve">Масштабування є переважно вертикальним у межах одного вузла, а PostgreSQL становить єдину точку відмови. Для цільового масштабу проєкту (пілотне розгортання в межах обмеженої територіальної спільноти) навантаження, за інженерною оцінкою автора, не перевищує можливостей одного сервера; відновлюваність забезпечується резервним копіюванням і архівуванням журналу WAL.</w:t>
      </w:r>
    </w:p>
    <w:p>
      <w:pPr>
        <w:numPr>
          <w:ilvl w:val="0"/>
          <w:numId w:val="1002"/>
        </w:numPr>
        <w:pStyle w:val="Compact"/>
      </w:pPr>
      <w:r>
        <w:t xml:space="preserve">Redis як брокер повідомлень не гарантує довговічності. Цей ризик компенсується тим, що первинним носієм подій є таблиця outbox у PostgreSQL; компенсація є повною за умови, що подію вважають обробленою після підтвердження споживача або періодичної звірки.</w:t>
      </w:r>
    </w:p>
    <w:p>
      <w:pPr>
        <w:numPr>
          <w:ilvl w:val="0"/>
          <w:numId w:val="1002"/>
        </w:numPr>
        <w:pStyle w:val="Compact"/>
      </w:pPr>
      <w:r>
        <w:t xml:space="preserve">Локальні ML-моделі конкурують з іншими компонентами за обчислювальні ресурси вузла, що потребує обмеження паралелізму воркерів.</w:t>
      </w:r>
    </w:p>
    <w:p>
      <w:pPr>
        <w:pStyle w:val="FirstParagraph"/>
      </w:pPr>
      <w:r>
        <w:t xml:space="preserve">Отже, на етапі проєктування (Розділ 2) мають бути реалізовані такі архітектурні вимоги:</w:t>
      </w:r>
    </w:p>
    <w:p>
      <w:pPr>
        <w:numPr>
          <w:ilvl w:val="0"/>
          <w:numId w:val="1003"/>
        </w:numPr>
        <w:pStyle w:val="Compact"/>
      </w:pPr>
      <w:r>
        <w:t xml:space="preserve">АВ-1: декомпозиція системи на доменні модулі з явними інтерфейсами та забороною прямого доступу до таблиць інших модулів;</w:t>
      </w:r>
    </w:p>
    <w:p>
      <w:pPr>
        <w:numPr>
          <w:ilvl w:val="0"/>
          <w:numId w:val="1003"/>
        </w:numPr>
        <w:pStyle w:val="Compact"/>
      </w:pPr>
      <w:r>
        <w:t xml:space="preserve">АВ-2: PostgreSQL як єдине джерело істини, а всі похідні дані відновлювані з неї;</w:t>
      </w:r>
    </w:p>
    <w:p>
      <w:pPr>
        <w:numPr>
          <w:ilvl w:val="0"/>
          <w:numId w:val="1003"/>
        </w:numPr>
        <w:pStyle w:val="Compact"/>
      </w:pPr>
      <w:r>
        <w:t xml:space="preserve">АВ-3: Transactional Outbox з ретранслятором, підтвердженням обробки та ідемпотентними споживачами;</w:t>
      </w:r>
    </w:p>
    <w:p>
      <w:pPr>
        <w:numPr>
          <w:ilvl w:val="0"/>
          <w:numId w:val="1003"/>
        </w:numPr>
        <w:pStyle w:val="Compact"/>
      </w:pPr>
      <w:r>
        <w:t xml:space="preserve">АВ-4: винесення всіх обчислювально важких операцій з циклу HTTP-запиту в окремі черги Celery з обмеженням паралелізму та політикою повторних спроб;</w:t>
      </w:r>
    </w:p>
    <w:p>
      <w:pPr>
        <w:numPr>
          <w:ilvl w:val="0"/>
          <w:numId w:val="1003"/>
        </w:numPr>
        <w:pStyle w:val="Compact"/>
      </w:pPr>
      <w:r>
        <w:t xml:space="preserve">АВ-5: виконання ML-компонентів виключно на локальних відкритих моделях без залежності від зовнішніх API;</w:t>
      </w:r>
    </w:p>
    <w:p>
      <w:pPr>
        <w:numPr>
          <w:ilvl w:val="0"/>
          <w:numId w:val="1003"/>
        </w:numPr>
        <w:pStyle w:val="Compact"/>
      </w:pPr>
      <w:r>
        <w:t xml:space="preserve">АВ-6: взаємодія Telegram-бота з ядром системи лише через версіонований REST API;</w:t>
      </w:r>
    </w:p>
    <w:p>
      <w:pPr>
        <w:numPr>
          <w:ilvl w:val="0"/>
          <w:numId w:val="1003"/>
        </w:numPr>
        <w:pStyle w:val="Compact"/>
      </w:pPr>
      <w:r>
        <w:t xml:space="preserve">АВ-7: стратегія резервного копіювання та відновлення PostgreSQL, а також кількісна оцінка допустимого навантаження на один вузол.</w:t>
      </w:r>
    </w:p>
    <w:bookmarkEnd w:id="32"/>
    <w:bookmarkEnd w:id="33"/>
    <w:bookmarkStart w:id="39" w:name="Xd75af2b8fd696f5aa70c02692670743f66adcee"/>
    <w:p>
      <w:pPr>
        <w:pStyle w:val="Heading2"/>
      </w:pPr>
      <w:r>
        <w:t xml:space="preserve">1.4. Аналіз обраної предметної області в межах дослідження (модель As-Is)</w:t>
      </w:r>
    </w:p>
    <w:bookmarkStart w:id="34" w:name="загальна-характеристика-домену"/>
    <w:p>
      <w:pPr>
        <w:pStyle w:val="Heading3"/>
      </w:pPr>
      <w:r>
        <w:t xml:space="preserve">1.4.1. Загальна характеристика домену</w:t>
      </w:r>
    </w:p>
    <w:p>
      <w:pPr>
        <w:pStyle w:val="FirstParagraph"/>
      </w:pPr>
      <w:r>
        <w:t xml:space="preserve">Предметною областю є ринок локальних побутових послуг, які фізичні особи та малі підприємці надають мешканцям певної територіальної громади: ремонт і монтаж інженерних систем, електромонтажні роботи, репетиторство, догляд за тваринами. Домен характеризується трьома особливостями, що визначають вимоги до програмної системи. По-перше, послуга має територіальну прив’язку: виконавець фізично прибуває за адресою замовника, тому релевантність пропозиції залежить від району. По-друге, наявна асиметрія інформації: замовник не може оцінити кваліфікацію виконавця до виконання роботи. По-третє, більшість транзакцій є разовими, що ускладнює накопичення репутації виконавця поза платформою.</w:t>
      </w:r>
    </w:p>
    <w:p>
      <w:pPr>
        <w:pStyle w:val="BodyText"/>
      </w:pPr>
      <w:r>
        <w:t xml:space="preserve">За відкритими даними, найближчий функціональний аналог в Україні — Kabanchik.ua — у 2019 р. обслуговував понад 50 000 завдань на місяць приблизно в 1000 категоріях [8]. Це свідчить про наявність сформованого попиту на платформне посередництво в цьому домені.</w:t>
      </w:r>
    </w:p>
    <w:p>
      <w:pPr>
        <w:pStyle w:val="BodyText"/>
      </w:pPr>
      <w:r>
        <w:t xml:space="preserve">Для 2026 р. встановлено такі технологічні тенденції в галузі: перехід від неформальних каналів (чати будинків, месенджери) до платформ-маркетплейсів із верифікацією виконавців; використання месенджерів як клієнтського каналу через відкриті API ботів; застосування методів машинного навчання для ранжування виконавців і виявлення неавтентичних відгуків (компанія Kabanchik.ua декларувала як планові задачі ранжування за геолокацією та аналіз фотографій [8]); перехід до відкритих моделей, що виконуються локально, як альтернативи керованим хмарним API; посилення вимог до обробки персональних даних.</w:t>
      </w:r>
    </w:p>
    <w:bookmarkEnd w:id="34"/>
    <w:bookmarkStart w:id="35" w:name="ключові-актори-та-сутності"/>
    <w:p>
      <w:pPr>
        <w:pStyle w:val="Heading3"/>
      </w:pPr>
      <w:r>
        <w:t xml:space="preserve">1.4.2. Ключові актори та сутності</w:t>
      </w:r>
    </w:p>
    <w:p>
      <w:pPr>
        <w:pStyle w:val="FirstParagraph"/>
      </w:pPr>
      <w:r>
        <w:t xml:space="preserve">Таблиця 1.3 – Актори системи</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rPr>
                <w:b/>
                <w:sz w:val="20"/>
              </w:rPr>
              <w:t xml:space="preserve">Актор</w:t>
            </w:r>
          </w:p>
        </w:tc>
        <w:tc>
          <w:tcPr/>
          <w:p>
            <w:pPr>
              <w:pStyle w:val="Compact"/>
              <w:jc w:val="left"/>
            </w:pPr>
            <w:r>
              <w:rPr>
                <w:b/>
                <w:sz w:val="20"/>
              </w:rPr>
              <w:t xml:space="preserve">Опис</w:t>
            </w:r>
          </w:p>
        </w:tc>
        <w:tc>
          <w:tcPr/>
          <w:p>
            <w:pPr>
              <w:pStyle w:val="Compact"/>
              <w:jc w:val="left"/>
            </w:pPr>
            <w:r>
              <w:rPr>
                <w:b/>
                <w:sz w:val="20"/>
              </w:rPr>
              <w:t xml:space="preserve">Основні дії</w:t>
            </w:r>
          </w:p>
        </w:tc>
      </w:tr>
      <w:tr>
        <w:tc>
          <w:tcPr/>
          <w:p>
            <w:pPr>
              <w:pStyle w:val="Compact"/>
              <w:jc w:val="left"/>
            </w:pPr>
            <w:r>
              <w:rPr>
                <w:sz w:val="20"/>
              </w:rPr>
              <w:t xml:space="preserve">Замовник</w:t>
            </w:r>
          </w:p>
        </w:tc>
        <w:tc>
          <w:tcPr/>
          <w:p>
            <w:pPr>
              <w:pStyle w:val="Compact"/>
              <w:jc w:val="left"/>
            </w:pPr>
            <w:r>
              <w:rPr>
                <w:sz w:val="20"/>
              </w:rPr>
              <w:t xml:space="preserve">Мешканець району, який потребує послуги</w:t>
            </w:r>
          </w:p>
        </w:tc>
        <w:tc>
          <w:tcPr/>
          <w:p>
            <w:pPr>
              <w:pStyle w:val="Compact"/>
              <w:jc w:val="left"/>
            </w:pPr>
            <w:r>
              <w:rPr>
                <w:sz w:val="20"/>
              </w:rPr>
              <w:t xml:space="preserve">Пошук виконавця, створення запиту із фото, підтвердження виконання, залишення відгуку, подання скарги</w:t>
            </w:r>
          </w:p>
        </w:tc>
      </w:tr>
      <w:tr>
        <w:tc>
          <w:tcPr/>
          <w:p>
            <w:pPr>
              <w:pStyle w:val="Compact"/>
              <w:jc w:val="left"/>
            </w:pPr>
            <w:r>
              <w:rPr>
                <w:sz w:val="20"/>
              </w:rPr>
              <w:t xml:space="preserve">Майстер</w:t>
            </w:r>
          </w:p>
        </w:tc>
        <w:tc>
          <w:tcPr/>
          <w:p>
            <w:pPr>
              <w:pStyle w:val="Compact"/>
              <w:jc w:val="left"/>
            </w:pPr>
            <w:r>
              <w:rPr>
                <w:sz w:val="20"/>
              </w:rPr>
              <w:t xml:space="preserve">Виконавець послуг</w:t>
            </w:r>
          </w:p>
        </w:tc>
        <w:tc>
          <w:tcPr/>
          <w:p>
            <w:pPr>
              <w:pStyle w:val="Compact"/>
              <w:jc w:val="left"/>
            </w:pPr>
            <w:r>
              <w:rPr>
                <w:sz w:val="20"/>
              </w:rPr>
              <w:t xml:space="preserve">Ведення профілю (послуги, ціни, портфоліо, райони), прийняття або відхилення запиту, позначення виконання, проходження верифікації</w:t>
            </w:r>
          </w:p>
        </w:tc>
      </w:tr>
      <w:tr>
        <w:tc>
          <w:tcPr/>
          <w:p>
            <w:pPr>
              <w:pStyle w:val="Compact"/>
              <w:jc w:val="left"/>
            </w:pPr>
            <w:r>
              <w:rPr>
                <w:sz w:val="20"/>
              </w:rPr>
              <w:t xml:space="preserve">Модератор</w:t>
            </w:r>
          </w:p>
        </w:tc>
        <w:tc>
          <w:tcPr/>
          <w:p>
            <w:pPr>
              <w:pStyle w:val="Compact"/>
              <w:jc w:val="left"/>
            </w:pPr>
            <w:r>
              <w:rPr>
                <w:sz w:val="20"/>
              </w:rPr>
              <w:t xml:space="preserve">Співробітник, який відповідає за якість даних</w:t>
            </w:r>
          </w:p>
        </w:tc>
        <w:tc>
          <w:tcPr/>
          <w:p>
            <w:pPr>
              <w:pStyle w:val="Compact"/>
              <w:jc w:val="left"/>
            </w:pPr>
            <w:r>
              <w:rPr>
                <w:sz w:val="20"/>
              </w:rPr>
              <w:t xml:space="preserve">Розгляд скарг і оскаржень, перевірка документів, блокування акаунтів, перегляд підозрілих відгуків</w:t>
            </w:r>
          </w:p>
        </w:tc>
      </w:tr>
      <w:tr>
        <w:tc>
          <w:tcPr/>
          <w:p>
            <w:pPr>
              <w:pStyle w:val="Compact"/>
              <w:jc w:val="left"/>
            </w:pPr>
            <w:r>
              <w:rPr>
                <w:sz w:val="20"/>
              </w:rPr>
              <w:t xml:space="preserve">Telegram Bot API</w:t>
            </w:r>
          </w:p>
        </w:tc>
        <w:tc>
          <w:tcPr/>
          <w:p>
            <w:pPr>
              <w:pStyle w:val="Compact"/>
              <w:jc w:val="left"/>
            </w:pPr>
            <w:r>
              <w:rPr>
                <w:sz w:val="20"/>
              </w:rPr>
              <w:t xml:space="preserve">Зовнішня система обміну повідомленнями</w:t>
            </w:r>
          </w:p>
        </w:tc>
        <w:tc>
          <w:tcPr/>
          <w:p>
            <w:pPr>
              <w:pStyle w:val="Compact"/>
              <w:jc w:val="left"/>
            </w:pPr>
            <w:r>
              <w:rPr>
                <w:sz w:val="20"/>
              </w:rPr>
              <w:t xml:space="preserve">Доставка сповіщень, прийом команд від користувачів</w:t>
            </w:r>
          </w:p>
        </w:tc>
      </w:tr>
    </w:tbl>
    <w:p>
      <w:pPr>
        <w:pStyle w:val="BodyText"/>
      </w:pPr>
      <w:r>
        <w:t xml:space="preserve">Таблиця 1.4 – Інформаційні сутності домену</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jc w:val="left"/>
            </w:pPr>
            <w:r>
              <w:rPr>
                <w:b/>
                <w:sz w:val="20"/>
              </w:rPr>
              <w:t xml:space="preserve">Сутність</w:t>
            </w:r>
          </w:p>
        </w:tc>
        <w:tc>
          <w:tcPr/>
          <w:p>
            <w:pPr>
              <w:pStyle w:val="Compact"/>
              <w:jc w:val="left"/>
            </w:pPr>
            <w:r>
              <w:rPr>
                <w:b/>
                <w:sz w:val="20"/>
              </w:rPr>
              <w:t xml:space="preserve">Ключові атрибути</w:t>
            </w:r>
          </w:p>
        </w:tc>
        <w:tc>
          <w:tcPr/>
          <w:p>
            <w:pPr>
              <w:pStyle w:val="Compact"/>
              <w:jc w:val="left"/>
            </w:pPr>
            <w:r>
              <w:rPr>
                <w:b/>
                <w:sz w:val="20"/>
              </w:rPr>
              <w:t xml:space="preserve">Зв’язки</w:t>
            </w:r>
          </w:p>
        </w:tc>
      </w:tr>
      <w:tr>
        <w:tc>
          <w:tcPr/>
          <w:p>
            <w:pPr>
              <w:pStyle w:val="Compact"/>
              <w:jc w:val="left"/>
            </w:pPr>
            <w:r>
              <w:rPr>
                <w:sz w:val="20"/>
              </w:rPr>
              <w:t xml:space="preserve">Користувач</w:t>
            </w:r>
          </w:p>
        </w:tc>
        <w:tc>
          <w:tcPr/>
          <w:p>
            <w:pPr>
              <w:pStyle w:val="Compact"/>
              <w:jc w:val="left"/>
            </w:pPr>
            <w:r>
              <w:rPr>
                <w:sz w:val="20"/>
              </w:rPr>
              <w:t xml:space="preserve">ідентифікатор, роль, контакти, район, статус верифікації</w:t>
            </w:r>
          </w:p>
        </w:tc>
        <w:tc>
          <w:tcPr/>
          <w:p>
            <w:pPr>
              <w:pStyle w:val="Compact"/>
              <w:jc w:val="left"/>
            </w:pPr>
            <w:r>
              <w:rPr>
                <w:sz w:val="20"/>
              </w:rPr>
              <w:t xml:space="preserve">1:N із замовленнями, відгуками, скаргами</w:t>
            </w:r>
          </w:p>
        </w:tc>
      </w:tr>
      <w:tr>
        <w:tc>
          <w:tcPr/>
          <w:p>
            <w:pPr>
              <w:pStyle w:val="Compact"/>
              <w:jc w:val="left"/>
            </w:pPr>
            <w:r>
              <w:rPr>
                <w:sz w:val="20"/>
              </w:rPr>
              <w:t xml:space="preserve">Профіль майстра</w:t>
            </w:r>
          </w:p>
        </w:tc>
        <w:tc>
          <w:tcPr/>
          <w:p>
            <w:pPr>
              <w:pStyle w:val="Compact"/>
              <w:jc w:val="left"/>
            </w:pPr>
            <w:r>
              <w:rPr>
                <w:sz w:val="20"/>
              </w:rPr>
              <w:t xml:space="preserve">опис, категорії, ціни, райони обслуговування, портфоліо</w:t>
            </w:r>
          </w:p>
        </w:tc>
        <w:tc>
          <w:tcPr/>
          <w:p>
            <w:pPr>
              <w:pStyle w:val="Compact"/>
              <w:jc w:val="left"/>
            </w:pPr>
            <w:r>
              <w:rPr>
                <w:sz w:val="20"/>
              </w:rPr>
              <w:t xml:space="preserve">1:1 з користувачем (майстром)</w:t>
            </w:r>
          </w:p>
        </w:tc>
      </w:tr>
      <w:tr>
        <w:tc>
          <w:tcPr/>
          <w:p>
            <w:pPr>
              <w:pStyle w:val="Compact"/>
              <w:jc w:val="left"/>
            </w:pPr>
            <w:r>
              <w:rPr>
                <w:sz w:val="20"/>
              </w:rPr>
              <w:t xml:space="preserve">Категорія послуги</w:t>
            </w:r>
          </w:p>
        </w:tc>
        <w:tc>
          <w:tcPr/>
          <w:p>
            <w:pPr>
              <w:pStyle w:val="Compact"/>
              <w:jc w:val="left"/>
            </w:pPr>
            <w:r>
              <w:rPr>
                <w:sz w:val="20"/>
              </w:rPr>
              <w:t xml:space="preserve">назва, ієрархія</w:t>
            </w:r>
          </w:p>
        </w:tc>
        <w:tc>
          <w:tcPr/>
          <w:p>
            <w:pPr>
              <w:pStyle w:val="Compact"/>
              <w:jc w:val="left"/>
            </w:pPr>
            <w:r>
              <w:rPr>
                <w:sz w:val="20"/>
              </w:rPr>
              <w:t xml:space="preserve">N:M із профілями майстрів</w:t>
            </w:r>
          </w:p>
        </w:tc>
      </w:tr>
      <w:tr>
        <w:tc>
          <w:tcPr/>
          <w:p>
            <w:pPr>
              <w:pStyle w:val="Compact"/>
              <w:jc w:val="left"/>
            </w:pPr>
            <w:r>
              <w:rPr>
                <w:sz w:val="20"/>
              </w:rPr>
              <w:t xml:space="preserve">Район</w:t>
            </w:r>
          </w:p>
        </w:tc>
        <w:tc>
          <w:tcPr/>
          <w:p>
            <w:pPr>
              <w:pStyle w:val="Compact"/>
              <w:jc w:val="left"/>
            </w:pPr>
            <w:r>
              <w:rPr>
                <w:sz w:val="20"/>
              </w:rPr>
              <w:t xml:space="preserve">назва, ієрархія територій</w:t>
            </w:r>
          </w:p>
        </w:tc>
        <w:tc>
          <w:tcPr/>
          <w:p>
            <w:pPr>
              <w:pStyle w:val="Compact"/>
              <w:jc w:val="left"/>
            </w:pPr>
            <w:r>
              <w:rPr>
                <w:sz w:val="20"/>
              </w:rPr>
              <w:t xml:space="preserve">Атрибут користувача, майстра та запиту</w:t>
            </w:r>
          </w:p>
        </w:tc>
      </w:tr>
      <w:tr>
        <w:tc>
          <w:tcPr/>
          <w:p>
            <w:pPr>
              <w:pStyle w:val="Compact"/>
              <w:jc w:val="left"/>
            </w:pPr>
            <w:r>
              <w:rPr>
                <w:sz w:val="20"/>
              </w:rPr>
              <w:t xml:space="preserve">Замовлення</w:t>
            </w:r>
          </w:p>
        </w:tc>
        <w:tc>
          <w:tcPr/>
          <w:p>
            <w:pPr>
              <w:pStyle w:val="Compact"/>
              <w:jc w:val="left"/>
            </w:pPr>
            <w:r>
              <w:rPr>
                <w:sz w:val="20"/>
              </w:rPr>
              <w:t xml:space="preserve">опис, категорія, район, статус, часові мітки</w:t>
            </w:r>
          </w:p>
        </w:tc>
        <w:tc>
          <w:tcPr/>
          <w:p>
            <w:pPr>
              <w:pStyle w:val="Compact"/>
              <w:jc w:val="left"/>
            </w:pPr>
            <w:r>
              <w:rPr>
                <w:sz w:val="20"/>
              </w:rPr>
              <w:t xml:space="preserve">N:1 із замовником і майстром</w:t>
            </w:r>
          </w:p>
        </w:tc>
      </w:tr>
      <w:tr>
        <w:tc>
          <w:tcPr/>
          <w:p>
            <w:pPr>
              <w:pStyle w:val="Compact"/>
              <w:jc w:val="left"/>
            </w:pPr>
            <w:r>
              <w:rPr>
                <w:sz w:val="20"/>
              </w:rPr>
              <w:t xml:space="preserve">Вкладення</w:t>
            </w:r>
          </w:p>
        </w:tc>
        <w:tc>
          <w:tcPr/>
          <w:p>
            <w:pPr>
              <w:pStyle w:val="Compact"/>
              <w:jc w:val="left"/>
            </w:pPr>
            <w:r>
              <w:rPr>
                <w:sz w:val="20"/>
              </w:rPr>
              <w:t xml:space="preserve">фото несправності, метадані</w:t>
            </w:r>
          </w:p>
        </w:tc>
        <w:tc>
          <w:tcPr/>
          <w:p>
            <w:pPr>
              <w:pStyle w:val="Compact"/>
              <w:jc w:val="left"/>
            </w:pPr>
            <w:r>
              <w:rPr>
                <w:sz w:val="20"/>
              </w:rPr>
              <w:t xml:space="preserve">N:1 із замовленням</w:t>
            </w:r>
          </w:p>
        </w:tc>
      </w:tr>
      <w:tr>
        <w:tc>
          <w:tcPr/>
          <w:p>
            <w:pPr>
              <w:pStyle w:val="Compact"/>
              <w:jc w:val="left"/>
            </w:pPr>
            <w:r>
              <w:rPr>
                <w:sz w:val="20"/>
              </w:rPr>
              <w:t xml:space="preserve">Відгук</w:t>
            </w:r>
          </w:p>
        </w:tc>
        <w:tc>
          <w:tcPr/>
          <w:p>
            <w:pPr>
              <w:pStyle w:val="Compact"/>
              <w:jc w:val="left"/>
            </w:pPr>
            <w:r>
              <w:rPr>
                <w:sz w:val="20"/>
              </w:rPr>
              <w:t xml:space="preserve">оцінка, текст, дата</w:t>
            </w:r>
          </w:p>
        </w:tc>
        <w:tc>
          <w:tcPr/>
          <w:p>
            <w:pPr>
              <w:pStyle w:val="Compact"/>
              <w:jc w:val="left"/>
            </w:pPr>
            <w:r>
              <w:rPr>
                <w:sz w:val="20"/>
              </w:rPr>
              <w:t xml:space="preserve">0..1 на замовлення; автор — замовник</w:t>
            </w:r>
          </w:p>
        </w:tc>
      </w:tr>
      <w:tr>
        <w:tc>
          <w:tcPr/>
          <w:p>
            <w:pPr>
              <w:pStyle w:val="Compact"/>
              <w:jc w:val="left"/>
            </w:pPr>
            <w:r>
              <w:rPr>
                <w:sz w:val="20"/>
              </w:rPr>
              <w:t xml:space="preserve">Скарга</w:t>
            </w:r>
          </w:p>
        </w:tc>
        <w:tc>
          <w:tcPr/>
          <w:p>
            <w:pPr>
              <w:pStyle w:val="Compact"/>
              <w:jc w:val="left"/>
            </w:pPr>
            <w:r>
              <w:rPr>
                <w:sz w:val="20"/>
              </w:rPr>
              <w:t xml:space="preserve">предмет, причина, статус</w:t>
            </w:r>
          </w:p>
        </w:tc>
        <w:tc>
          <w:tcPr/>
          <w:p>
            <w:pPr>
              <w:pStyle w:val="Compact"/>
              <w:jc w:val="left"/>
            </w:pPr>
            <w:r>
              <w:rPr>
                <w:sz w:val="20"/>
              </w:rPr>
              <w:t xml:space="preserve">N:1 із відгуком або користувачем</w:t>
            </w:r>
          </w:p>
        </w:tc>
      </w:tr>
      <w:tr>
        <w:tc>
          <w:tcPr/>
          <w:p>
            <w:pPr>
              <w:pStyle w:val="Compact"/>
              <w:jc w:val="left"/>
            </w:pPr>
            <w:r>
              <w:rPr>
                <w:sz w:val="20"/>
              </w:rPr>
              <w:t xml:space="preserve">Документ верифікації</w:t>
            </w:r>
          </w:p>
        </w:tc>
        <w:tc>
          <w:tcPr/>
          <w:p>
            <w:pPr>
              <w:pStyle w:val="Compact"/>
              <w:jc w:val="left"/>
            </w:pPr>
            <w:r>
              <w:rPr>
                <w:sz w:val="20"/>
              </w:rPr>
              <w:t xml:space="preserve">тип, файл, статус перевірки</w:t>
            </w:r>
          </w:p>
        </w:tc>
        <w:tc>
          <w:tcPr/>
          <w:p>
            <w:pPr>
              <w:pStyle w:val="Compact"/>
              <w:jc w:val="left"/>
            </w:pPr>
            <w:r>
              <w:rPr>
                <w:sz w:val="20"/>
              </w:rPr>
              <w:t xml:space="preserve">N:1 із майстром</w:t>
            </w:r>
          </w:p>
        </w:tc>
      </w:tr>
      <w:tr>
        <w:tc>
          <w:tcPr/>
          <w:p>
            <w:pPr>
              <w:pStyle w:val="Compact"/>
              <w:jc w:val="left"/>
            </w:pPr>
            <w:r>
              <w:rPr>
                <w:sz w:val="20"/>
              </w:rPr>
              <w:t xml:space="preserve">Подія</w:t>
            </w:r>
          </w:p>
        </w:tc>
        <w:tc>
          <w:tcPr/>
          <w:p>
            <w:pPr>
              <w:pStyle w:val="Compact"/>
              <w:jc w:val="left"/>
            </w:pPr>
            <w:r>
              <w:rPr>
                <w:sz w:val="20"/>
              </w:rPr>
              <w:t xml:space="preserve">тип, дані, час, ознака обробки</w:t>
            </w:r>
          </w:p>
        </w:tc>
        <w:tc>
          <w:tcPr/>
          <w:p>
            <w:pPr>
              <w:pStyle w:val="Compact"/>
              <w:jc w:val="left"/>
            </w:pPr>
            <w:r>
              <w:rPr>
                <w:sz w:val="20"/>
              </w:rPr>
              <w:t xml:space="preserve">Породжується змінами замовлення та відгуку</w:t>
            </w:r>
          </w:p>
        </w:tc>
      </w:tr>
    </w:tbl>
    <w:p>
      <w:pPr>
        <w:pStyle w:val="BodyText"/>
      </w:pPr>
      <w:r>
        <w:t xml:space="preserve">Основні потоки даних: від замовника до майстра передаються запит і фотографії; від майстра до замовника — підтвердження виконання та ціна; від обох сторін до системи — підтвердження статусу, відгук і скарги; від системи до користувачів — сповіщення про зміну статусу.</w:t>
      </w:r>
    </w:p>
    <w:bookmarkEnd w:id="35"/>
    <w:bookmarkStart w:id="36" w:name="бізнес-процеси-та-workflows-as-is"/>
    <w:p>
      <w:pPr>
        <w:pStyle w:val="Heading3"/>
      </w:pPr>
      <w:r>
        <w:t xml:space="preserve">1.4.3. Бізнес-процеси та Workflows (As-Is)</w:t>
      </w:r>
    </w:p>
    <w:p>
      <w:pPr>
        <w:pStyle w:val="FirstParagraph"/>
      </w:pPr>
      <w:r>
        <w:rPr>
          <w:bCs/>
          <w:b/>
        </w:rPr>
        <w:t xml:space="preserve">Процес 1. Пошук виконавця.</w:t>
      </w:r>
      <w:r>
        <w:t xml:space="preserve"> </w:t>
      </w:r>
      <w:r>
        <w:t xml:space="preserve">Замовник звертається до знайомих, чату будинку або загальної дошки оголошень. Відповіді надходять у довільній текстовій формі (ціна, досвід, доступність), після чого замовник вручну порівнює пропозиції. Дані не структуровані й не індексуються.</w:t>
      </w:r>
    </w:p>
    <w:p>
      <w:pPr>
        <w:pStyle w:val="BodyText"/>
      </w:pPr>
      <w:r>
        <w:t xml:space="preserve">Вузькі місця процесу:</w:t>
      </w:r>
    </w:p>
    <w:p>
      <w:pPr>
        <w:numPr>
          <w:ilvl w:val="0"/>
          <w:numId w:val="1004"/>
        </w:numPr>
        <w:pStyle w:val="Compact"/>
      </w:pPr>
      <w:r>
        <w:t xml:space="preserve">Б1.1. Відсутність каталогу з індексацією за категорією та районом: пошук зводиться до перегляду історії повідомлень, а складність пошуку зростає лінійно з обсягом переписки.</w:t>
      </w:r>
    </w:p>
    <w:p>
      <w:pPr>
        <w:numPr>
          <w:ilvl w:val="0"/>
          <w:numId w:val="1004"/>
        </w:numPr>
        <w:pStyle w:val="Compact"/>
      </w:pPr>
      <w:r>
        <w:t xml:space="preserve">Б1.2. Відсутність верифікації виконавця: ідентичність, кваліфікація і документи не перевіряються.</w:t>
      </w:r>
    </w:p>
    <w:p>
      <w:pPr>
        <w:numPr>
          <w:ilvl w:val="0"/>
          <w:numId w:val="1004"/>
        </w:numPr>
        <w:pStyle w:val="Compact"/>
      </w:pPr>
      <w:r>
        <w:t xml:space="preserve">Б1.3. Територіальна фільтрація на загальних дошках оголошень виконується на рівні міста, а не району [П], тому релевантність виконавця для конкретної адреси встановлюється вручну.</w:t>
      </w:r>
    </w:p>
    <w:p>
      <w:pPr>
        <w:numPr>
          <w:ilvl w:val="0"/>
          <w:numId w:val="1004"/>
        </w:numPr>
        <w:pStyle w:val="Compact"/>
      </w:pPr>
      <w:r>
        <w:t xml:space="preserve">Б1.4. Час очікування відповідей не регламентований: відсутні сповіщення та статуси звернення.</w:t>
      </w:r>
    </w:p>
    <w:p>
      <w:pPr>
        <w:pStyle w:val="FirstParagraph"/>
      </w:pPr>
      <w:r>
        <w:rPr>
          <w:bCs/>
          <w:b/>
        </w:rPr>
        <w:t xml:space="preserve">Процес 2. Оформлення, виконання та підтвердження замовлення.</w:t>
      </w:r>
      <w:r>
        <w:t xml:space="preserve"> </w:t>
      </w:r>
      <w:r>
        <w:t xml:space="preserve">Замовник і майстер домовляються в месенджері; майстер прибуває, виконує роботу; оплата здійснюється готівкою або переказом. Формальна фіксація результату відсутня.</w:t>
      </w:r>
    </w:p>
    <w:p>
      <w:pPr>
        <w:pStyle w:val="BodyText"/>
      </w:pPr>
      <w:r>
        <w:t xml:space="preserve">Вузькі місця процесу:</w:t>
      </w:r>
    </w:p>
    <w:p>
      <w:pPr>
        <w:numPr>
          <w:ilvl w:val="0"/>
          <w:numId w:val="1005"/>
        </w:numPr>
        <w:pStyle w:val="Compact"/>
      </w:pPr>
      <w:r>
        <w:t xml:space="preserve">Б2.1. Стан замовлення не формалізований: неможливо за даними відрізнити виконане, скасоване й оскаржене замовлення.</w:t>
      </w:r>
    </w:p>
    <w:p>
      <w:pPr>
        <w:numPr>
          <w:ilvl w:val="0"/>
          <w:numId w:val="1005"/>
        </w:numPr>
        <w:pStyle w:val="Compact"/>
      </w:pPr>
      <w:r>
        <w:t xml:space="preserve">Б2.2. Підтвердження виконання не є подією в системі, тому відгук неможливо технічно прив’язати до реальної транзакції.</w:t>
      </w:r>
    </w:p>
    <w:p>
      <w:pPr>
        <w:numPr>
          <w:ilvl w:val="0"/>
          <w:numId w:val="1005"/>
        </w:numPr>
        <w:pStyle w:val="Compact"/>
      </w:pPr>
      <w:r>
        <w:t xml:space="preserve">Б2.3. Неповна інформація про несправність на етапі домовленості спричиняє повторні виїзди: майстер прибуває без необхідних матеріалів та інструментів.</w:t>
      </w:r>
    </w:p>
    <w:p>
      <w:pPr>
        <w:numPr>
          <w:ilvl w:val="0"/>
          <w:numId w:val="1005"/>
        </w:numPr>
        <w:pStyle w:val="Compact"/>
      </w:pPr>
      <w:r>
        <w:t xml:space="preserve">Б2.4. У наявних платформах зміна стану в СУБД і публікація події у брокер виконуються як дві незалежні операції (dual write), тому за збою між ними подія втрачається [П] (підрозділ 1.3). Обчислювально важкі операції виконуються в синхронному циклі запиту, що збільшує Latency [8].</w:t>
      </w:r>
    </w:p>
    <w:p>
      <w:pPr>
        <w:pStyle w:val="FirstParagraph"/>
      </w:pPr>
      <w:r>
        <w:rPr>
          <w:bCs/>
          <w:b/>
        </w:rPr>
        <w:t xml:space="preserve">Процес 3. Формування та відображення репутації.</w:t>
      </w:r>
      <w:r>
        <w:t xml:space="preserve"> </w:t>
      </w:r>
      <w:r>
        <w:t xml:space="preserve">Після виконання роботи замовник залишає відгук і оцінку; платформа обчислює середнє арифметичне та відображає одне число.</w:t>
      </w:r>
    </w:p>
    <w:p>
      <w:pPr>
        <w:pStyle w:val="BodyText"/>
      </w:pPr>
      <w:r>
        <w:t xml:space="preserve">Вузькі місця процесу:</w:t>
      </w:r>
    </w:p>
    <w:p>
      <w:pPr>
        <w:numPr>
          <w:ilvl w:val="0"/>
          <w:numId w:val="1006"/>
        </w:numPr>
        <w:pStyle w:val="Compact"/>
      </w:pPr>
      <w:r>
        <w:t xml:space="preserve">Б3.1. Середнє арифметичне чутливе до малої вибірки: виконавець з одним відгуком «5» отримує вищий рейтинг, ніж виконавець із 200 відгуками та середнім 4.8.</w:t>
      </w:r>
    </w:p>
    <w:p>
      <w:pPr>
        <w:numPr>
          <w:ilvl w:val="0"/>
          <w:numId w:val="1006"/>
        </w:numPr>
        <w:pStyle w:val="Compact"/>
      </w:pPr>
      <w:r>
        <w:t xml:space="preserve">Б3.2. Відгук не прив’язаний до підтвердженого замовлення, тому допускається публікація без реальної взаємодії.</w:t>
      </w:r>
    </w:p>
    <w:p>
      <w:pPr>
        <w:numPr>
          <w:ilvl w:val="0"/>
          <w:numId w:val="1006"/>
        </w:numPr>
        <w:pStyle w:val="Compact"/>
      </w:pPr>
      <w:r>
        <w:t xml:space="preserve">Б3.3. Відсутній захист від координованих оцінок: взаємні оцінки двох акаунтів, пакети відгуків за короткий час, замкнені кластери акаунтів (атаки типу Sybil).</w:t>
      </w:r>
    </w:p>
    <w:p>
      <w:pPr>
        <w:numPr>
          <w:ilvl w:val="0"/>
          <w:numId w:val="1006"/>
        </w:numPr>
        <w:pStyle w:val="Compact"/>
      </w:pPr>
      <w:r>
        <w:t xml:space="preserve">Б3.4. Не враховуються територіальна близькість автора до виконавця та давність відгуків: оцінка дворічної давності має ту саму вагу, що й поточна.</w:t>
      </w:r>
    </w:p>
    <w:p>
      <w:pPr>
        <w:numPr>
          <w:ilvl w:val="0"/>
          <w:numId w:val="1006"/>
        </w:numPr>
        <w:pStyle w:val="Compact"/>
      </w:pPr>
      <w:r>
        <w:t xml:space="preserve">Б3.5. Рейтинг непрозорий: користувач бачить підсумкове число без розкладки складових.</w:t>
      </w:r>
    </w:p>
    <w:bookmarkEnd w:id="36"/>
    <w:bookmarkStart w:id="37" w:name="регуляторні-та-індустріальні-обмеження"/>
    <w:p>
      <w:pPr>
        <w:pStyle w:val="Heading3"/>
      </w:pPr>
      <w:r>
        <w:t xml:space="preserve">1.4.4. Регуляторні та індустріальні обмеження</w:t>
      </w:r>
    </w:p>
    <w:p>
      <w:pPr>
        <w:numPr>
          <w:ilvl w:val="0"/>
          <w:numId w:val="1007"/>
        </w:numPr>
        <w:pStyle w:val="Compact"/>
      </w:pPr>
      <w:r>
        <w:rPr>
          <w:bCs/>
          <w:b/>
        </w:rPr>
        <w:t xml:space="preserve">Захист персональних даних.</w:t>
      </w:r>
      <w:r>
        <w:t xml:space="preserve"> </w:t>
      </w:r>
      <w:r>
        <w:t xml:space="preserve">Обробка контактів, адрес, документів і фотографій регулюється Законом України «Про захист персональних даних» [12]. Як еталон принципів застосовується Регламент (ЄС) 2016/679 (GDPR) [13]: мінімізація даних і обмеження строку зберігання (ст. 5), право на видалення (ст. 17), безпека обробки (ст. 32). Фотографії можуть містити метадані EXIF із геокоординатами, тому підлягають очищенню перед зберіганням.</w:t>
      </w:r>
    </w:p>
    <w:p>
      <w:pPr>
        <w:numPr>
          <w:ilvl w:val="0"/>
          <w:numId w:val="1007"/>
        </w:numPr>
        <w:pStyle w:val="Compact"/>
      </w:pPr>
      <w:r>
        <w:rPr>
          <w:bCs/>
          <w:b/>
        </w:rPr>
        <w:t xml:space="preserve">Безпека вебзастосунків.</w:t>
      </w:r>
      <w:r>
        <w:t xml:space="preserve"> </w:t>
      </w:r>
      <w:r>
        <w:t xml:space="preserve">Для контролю доступу та автентифікації застосовуються категорії OWASP Top 10:2021 [14] (зокрема A01 Broken Access Control і A07 Identification and Authentication Failures). Токени доступу формуються за специфікацією JWT (RFC 7519) [15].</w:t>
      </w:r>
    </w:p>
    <w:p>
      <w:pPr>
        <w:numPr>
          <w:ilvl w:val="0"/>
          <w:numId w:val="1007"/>
        </w:numPr>
        <w:pStyle w:val="Compact"/>
      </w:pPr>
      <w:r>
        <w:rPr>
          <w:bCs/>
          <w:b/>
        </w:rPr>
        <w:t xml:space="preserve">Інтеграція з Telegram.</w:t>
      </w:r>
      <w:r>
        <w:t xml:space="preserve"> </w:t>
      </w:r>
      <w:r>
        <w:t xml:space="preserve">Взаємодія з месенджером регламентується документацією Telegram Bot API [16], що передбачає ліміти частоти надсилання повідомлень, які необхідно враховувати в черзі сповіщень.</w:t>
      </w:r>
    </w:p>
    <w:p>
      <w:pPr>
        <w:numPr>
          <w:ilvl w:val="0"/>
          <w:numId w:val="1007"/>
        </w:numPr>
        <w:pStyle w:val="Compact"/>
      </w:pPr>
      <w:r>
        <w:rPr>
          <w:bCs/>
          <w:b/>
        </w:rPr>
        <w:t xml:space="preserve">Якість програмного забезпечення.</w:t>
      </w:r>
      <w:r>
        <w:t xml:space="preserve"> </w:t>
      </w:r>
      <w:r>
        <w:t xml:space="preserve">Класифікація нефункціональних вимог виконується за моделлю якості ISO/IEC 25010 [17]: продуктивність, безпека, надійність, супроводжуваність.</w:t>
      </w:r>
    </w:p>
    <w:p>
      <w:pPr>
        <w:numPr>
          <w:ilvl w:val="0"/>
          <w:numId w:val="1007"/>
        </w:numPr>
        <w:pStyle w:val="Compact"/>
      </w:pPr>
      <w:r>
        <w:rPr>
          <w:bCs/>
          <w:b/>
        </w:rPr>
        <w:t xml:space="preserve">Специфікація інтерфейсів.</w:t>
      </w:r>
      <w:r>
        <w:t xml:space="preserve"> </w:t>
      </w:r>
      <w:r>
        <w:t xml:space="preserve">REST API описується специфікацією OpenAPI 3.x, що забезпечує відтворюваність контрактів між вебзастосунком і Telegram-ботом.</w:t>
      </w:r>
    </w:p>
    <w:bookmarkEnd w:id="37"/>
    <w:bookmarkStart w:id="38" w:name="зведення-виявлених-вузьких-місць"/>
    <w:p>
      <w:pPr>
        <w:pStyle w:val="Heading3"/>
      </w:pPr>
      <w:r>
        <w:t xml:space="preserve">1.4.5. Зведення виявлених вузьких місць</w:t>
      </w:r>
    </w:p>
    <w:p>
      <w:pPr>
        <w:pStyle w:val="FirstParagraph"/>
      </w:pPr>
      <w:r>
        <w:t xml:space="preserve">Таблиця 1.5 – Вузькі місця моделі As-Is і напрями їх усунення</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rPr>
                <w:b/>
                <w:sz w:val="20"/>
              </w:rPr>
              <w:t xml:space="preserve">Ідентифікатор</w:t>
            </w:r>
          </w:p>
        </w:tc>
        <w:tc>
          <w:tcPr/>
          <w:p>
            <w:pPr>
              <w:pStyle w:val="Compact"/>
              <w:jc w:val="left"/>
            </w:pPr>
            <w:r>
              <w:rPr>
                <w:b/>
                <w:sz w:val="20"/>
              </w:rPr>
              <w:t xml:space="preserve">Вузьке місце</w:t>
            </w:r>
          </w:p>
        </w:tc>
        <w:tc>
          <w:tcPr/>
          <w:p>
            <w:pPr>
              <w:pStyle w:val="Compact"/>
              <w:jc w:val="left"/>
            </w:pPr>
            <w:r>
              <w:rPr>
                <w:b/>
                <w:sz w:val="20"/>
              </w:rPr>
              <w:t xml:space="preserve">Наслідок</w:t>
            </w:r>
          </w:p>
        </w:tc>
        <w:tc>
          <w:tcPr/>
          <w:p>
            <w:pPr>
              <w:pStyle w:val="Compact"/>
              <w:jc w:val="left"/>
            </w:pPr>
            <w:r>
              <w:rPr>
                <w:b/>
                <w:sz w:val="20"/>
              </w:rPr>
              <w:t xml:space="preserve">Напрям усунення (To-Be)</w:t>
            </w:r>
          </w:p>
        </w:tc>
      </w:tr>
      <w:tr>
        <w:tc>
          <w:tcPr/>
          <w:p>
            <w:pPr>
              <w:pStyle w:val="Compact"/>
              <w:jc w:val="left"/>
            </w:pPr>
            <w:r>
              <w:rPr>
                <w:sz w:val="20"/>
              </w:rPr>
              <w:t xml:space="preserve">Б1.1, Б1.3</w:t>
            </w:r>
          </w:p>
        </w:tc>
        <w:tc>
          <w:tcPr/>
          <w:p>
            <w:pPr>
              <w:pStyle w:val="Compact"/>
              <w:jc w:val="left"/>
            </w:pPr>
            <w:r>
              <w:rPr>
                <w:sz w:val="20"/>
              </w:rPr>
              <w:t xml:space="preserve">Відсутність індексованого каталогу з районом</w:t>
            </w:r>
          </w:p>
        </w:tc>
        <w:tc>
          <w:tcPr/>
          <w:p>
            <w:pPr>
              <w:pStyle w:val="Compact"/>
              <w:jc w:val="left"/>
            </w:pPr>
            <w:r>
              <w:rPr>
                <w:sz w:val="20"/>
              </w:rPr>
              <w:t xml:space="preserve">Тривалий пошук, низька релевантність</w:t>
            </w:r>
          </w:p>
        </w:tc>
        <w:tc>
          <w:tcPr/>
          <w:p>
            <w:pPr>
              <w:pStyle w:val="Compact"/>
              <w:jc w:val="left"/>
            </w:pPr>
            <w:r>
              <w:rPr>
                <w:sz w:val="20"/>
              </w:rPr>
              <w:t xml:space="preserve">Каталог із пошуком за категорією, районом та текстом (pg_trgm)</w:t>
            </w:r>
          </w:p>
        </w:tc>
      </w:tr>
      <w:tr>
        <w:tc>
          <w:tcPr/>
          <w:p>
            <w:pPr>
              <w:pStyle w:val="Compact"/>
              <w:jc w:val="left"/>
            </w:pPr>
            <w:r>
              <w:rPr>
                <w:sz w:val="20"/>
              </w:rPr>
              <w:t xml:space="preserve">Б1.2</w:t>
            </w:r>
          </w:p>
        </w:tc>
        <w:tc>
          <w:tcPr/>
          <w:p>
            <w:pPr>
              <w:pStyle w:val="Compact"/>
              <w:jc w:val="left"/>
            </w:pPr>
            <w:r>
              <w:rPr>
                <w:sz w:val="20"/>
              </w:rPr>
              <w:t xml:space="preserve">Відсутність верифікації</w:t>
            </w:r>
          </w:p>
        </w:tc>
        <w:tc>
          <w:tcPr/>
          <w:p>
            <w:pPr>
              <w:pStyle w:val="Compact"/>
              <w:jc w:val="left"/>
            </w:pPr>
            <w:r>
              <w:rPr>
                <w:sz w:val="20"/>
              </w:rPr>
              <w:t xml:space="preserve">Ризик недостовірного виконавця</w:t>
            </w:r>
          </w:p>
        </w:tc>
        <w:tc>
          <w:tcPr/>
          <w:p>
            <w:pPr>
              <w:pStyle w:val="Compact"/>
              <w:jc w:val="left"/>
            </w:pPr>
            <w:r>
              <w:rPr>
                <w:sz w:val="20"/>
              </w:rPr>
              <w:t xml:space="preserve">Верифікація телефону та документів</w:t>
            </w:r>
          </w:p>
        </w:tc>
      </w:tr>
      <w:tr>
        <w:tc>
          <w:tcPr/>
          <w:p>
            <w:pPr>
              <w:pStyle w:val="Compact"/>
              <w:jc w:val="left"/>
            </w:pPr>
            <w:r>
              <w:rPr>
                <w:sz w:val="20"/>
              </w:rPr>
              <w:t xml:space="preserve">Б1.4, Б2.1</w:t>
            </w:r>
          </w:p>
        </w:tc>
        <w:tc>
          <w:tcPr/>
          <w:p>
            <w:pPr>
              <w:pStyle w:val="Compact"/>
              <w:jc w:val="left"/>
            </w:pPr>
            <w:r>
              <w:rPr>
                <w:sz w:val="20"/>
              </w:rPr>
              <w:t xml:space="preserve">Відсутність статусів і сповіщень</w:t>
            </w:r>
          </w:p>
        </w:tc>
        <w:tc>
          <w:tcPr/>
          <w:p>
            <w:pPr>
              <w:pStyle w:val="Compact"/>
              <w:jc w:val="left"/>
            </w:pPr>
            <w:r>
              <w:rPr>
                <w:sz w:val="20"/>
              </w:rPr>
              <w:t xml:space="preserve">Невизначеність стану</w:t>
            </w:r>
          </w:p>
        </w:tc>
        <w:tc>
          <w:tcPr/>
          <w:p>
            <w:pPr>
              <w:pStyle w:val="Compact"/>
              <w:jc w:val="left"/>
            </w:pPr>
            <w:r>
              <w:rPr>
                <w:sz w:val="20"/>
              </w:rPr>
              <w:t xml:space="preserve">Скінченний автомат замовлення, сповіщення в Telegram</w:t>
            </w:r>
          </w:p>
        </w:tc>
      </w:tr>
      <w:tr>
        <w:tc>
          <w:tcPr/>
          <w:p>
            <w:pPr>
              <w:pStyle w:val="Compact"/>
              <w:jc w:val="left"/>
            </w:pPr>
            <w:r>
              <w:rPr>
                <w:sz w:val="20"/>
              </w:rPr>
              <w:t xml:space="preserve">Б2.2, Б3.2</w:t>
            </w:r>
          </w:p>
        </w:tc>
        <w:tc>
          <w:tcPr/>
          <w:p>
            <w:pPr>
              <w:pStyle w:val="Compact"/>
              <w:jc w:val="left"/>
            </w:pPr>
            <w:r>
              <w:rPr>
                <w:sz w:val="20"/>
              </w:rPr>
              <w:t xml:space="preserve">Відгук без прив’язки до замовлення</w:t>
            </w:r>
          </w:p>
        </w:tc>
        <w:tc>
          <w:tcPr/>
          <w:p>
            <w:pPr>
              <w:pStyle w:val="Compact"/>
              <w:jc w:val="left"/>
            </w:pPr>
            <w:r>
              <w:rPr>
                <w:sz w:val="20"/>
              </w:rPr>
              <w:t xml:space="preserve">Відгуки без взаємодії</w:t>
            </w:r>
          </w:p>
        </w:tc>
        <w:tc>
          <w:tcPr/>
          <w:p>
            <w:pPr>
              <w:pStyle w:val="Compact"/>
              <w:jc w:val="left"/>
            </w:pPr>
            <w:r>
              <w:rPr>
                <w:sz w:val="20"/>
              </w:rPr>
              <w:t xml:space="preserve">Відгук лише за статусом «підтверджено» (обмеження в БД)</w:t>
            </w:r>
          </w:p>
        </w:tc>
      </w:tr>
      <w:tr>
        <w:tc>
          <w:tcPr/>
          <w:p>
            <w:pPr>
              <w:pStyle w:val="Compact"/>
              <w:jc w:val="left"/>
            </w:pPr>
            <w:r>
              <w:rPr>
                <w:sz w:val="20"/>
              </w:rPr>
              <w:t xml:space="preserve">Б2.3</w:t>
            </w:r>
          </w:p>
        </w:tc>
        <w:tc>
          <w:tcPr/>
          <w:p>
            <w:pPr>
              <w:pStyle w:val="Compact"/>
              <w:jc w:val="left"/>
            </w:pPr>
            <w:r>
              <w:rPr>
                <w:sz w:val="20"/>
              </w:rPr>
              <w:t xml:space="preserve">Неповна інформація про несправність</w:t>
            </w:r>
          </w:p>
        </w:tc>
        <w:tc>
          <w:tcPr/>
          <w:p>
            <w:pPr>
              <w:pStyle w:val="Compact"/>
              <w:jc w:val="left"/>
            </w:pPr>
            <w:r>
              <w:rPr>
                <w:sz w:val="20"/>
              </w:rPr>
              <w:t xml:space="preserve">Повторні виїзди</w:t>
            </w:r>
          </w:p>
        </w:tc>
        <w:tc>
          <w:tcPr/>
          <w:p>
            <w:pPr>
              <w:pStyle w:val="Compact"/>
              <w:jc w:val="left"/>
            </w:pPr>
            <w:r>
              <w:rPr>
                <w:sz w:val="20"/>
              </w:rPr>
              <w:t xml:space="preserve">Діагностика за фото з підказкою для майстра</w:t>
            </w:r>
          </w:p>
        </w:tc>
      </w:tr>
      <w:tr>
        <w:tc>
          <w:tcPr/>
          <w:p>
            <w:pPr>
              <w:pStyle w:val="Compact"/>
              <w:jc w:val="left"/>
            </w:pPr>
            <w:r>
              <w:rPr>
                <w:sz w:val="20"/>
              </w:rPr>
              <w:t xml:space="preserve">Б2.4</w:t>
            </w:r>
          </w:p>
        </w:tc>
        <w:tc>
          <w:tcPr/>
          <w:p>
            <w:pPr>
              <w:pStyle w:val="Compact"/>
              <w:jc w:val="left"/>
            </w:pPr>
            <w:r>
              <w:rPr>
                <w:sz w:val="20"/>
              </w:rPr>
              <w:t xml:space="preserve">Dual write, синхронні важкі операції</w:t>
            </w:r>
          </w:p>
        </w:tc>
        <w:tc>
          <w:tcPr/>
          <w:p>
            <w:pPr>
              <w:pStyle w:val="Compact"/>
              <w:jc w:val="left"/>
            </w:pPr>
            <w:r>
              <w:rPr>
                <w:sz w:val="20"/>
              </w:rPr>
              <w:t xml:space="preserve">Втрата подій, високий Latency</w:t>
            </w:r>
          </w:p>
        </w:tc>
        <w:tc>
          <w:tcPr/>
          <w:p>
            <w:pPr>
              <w:pStyle w:val="Compact"/>
              <w:jc w:val="left"/>
            </w:pPr>
            <w:r>
              <w:rPr>
                <w:sz w:val="20"/>
              </w:rPr>
              <w:t xml:space="preserve">Transactional Outbox, асинхронні воркери Celery</w:t>
            </w:r>
          </w:p>
        </w:tc>
      </w:tr>
      <w:tr>
        <w:tc>
          <w:tcPr/>
          <w:p>
            <w:pPr>
              <w:pStyle w:val="Compact"/>
              <w:jc w:val="left"/>
            </w:pPr>
            <w:r>
              <w:rPr>
                <w:sz w:val="20"/>
              </w:rPr>
              <w:t xml:space="preserve">Б3.1, Б3.4</w:t>
            </w:r>
          </w:p>
        </w:tc>
        <w:tc>
          <w:tcPr/>
          <w:p>
            <w:pPr>
              <w:pStyle w:val="Compact"/>
              <w:jc w:val="left"/>
            </w:pPr>
            <w:r>
              <w:rPr>
                <w:sz w:val="20"/>
              </w:rPr>
              <w:t xml:space="preserve">Чутливість середнього до малої вибірки; відсутність ваг</w:t>
            </w:r>
          </w:p>
        </w:tc>
        <w:tc>
          <w:tcPr/>
          <w:p>
            <w:pPr>
              <w:pStyle w:val="Compact"/>
              <w:jc w:val="left"/>
            </w:pPr>
            <w:r>
              <w:rPr>
                <w:sz w:val="20"/>
              </w:rPr>
              <w:t xml:space="preserve">Інверсія ранжування</w:t>
            </w:r>
          </w:p>
        </w:tc>
        <w:tc>
          <w:tcPr/>
          <w:p>
            <w:pPr>
              <w:pStyle w:val="Compact"/>
              <w:jc w:val="left"/>
            </w:pPr>
            <w:r>
              <w:rPr>
                <w:sz w:val="20"/>
              </w:rPr>
              <w:t xml:space="preserve">Байєсівське згладжування, вага за районом і давністю</w:t>
            </w:r>
          </w:p>
        </w:tc>
      </w:tr>
      <w:tr>
        <w:tc>
          <w:tcPr/>
          <w:p>
            <w:pPr>
              <w:pStyle w:val="Compact"/>
              <w:jc w:val="left"/>
            </w:pPr>
            <w:r>
              <w:rPr>
                <w:sz w:val="20"/>
              </w:rPr>
              <w:t xml:space="preserve">Б3.3</w:t>
            </w:r>
          </w:p>
        </w:tc>
        <w:tc>
          <w:tcPr/>
          <w:p>
            <w:pPr>
              <w:pStyle w:val="Compact"/>
              <w:jc w:val="left"/>
            </w:pPr>
            <w:r>
              <w:rPr>
                <w:sz w:val="20"/>
              </w:rPr>
              <w:t xml:space="preserve">Відсутність захисту від накруток</w:t>
            </w:r>
          </w:p>
        </w:tc>
        <w:tc>
          <w:tcPr/>
          <w:p>
            <w:pPr>
              <w:pStyle w:val="Compact"/>
              <w:jc w:val="left"/>
            </w:pPr>
            <w:r>
              <w:rPr>
                <w:sz w:val="20"/>
              </w:rPr>
              <w:t xml:space="preserve">Знецінення рейтингу</w:t>
            </w:r>
          </w:p>
        </w:tc>
        <w:tc>
          <w:tcPr/>
          <w:p>
            <w:pPr>
              <w:pStyle w:val="Compact"/>
              <w:jc w:val="left"/>
            </w:pPr>
            <w:r>
              <w:rPr>
                <w:sz w:val="20"/>
              </w:rPr>
              <w:t xml:space="preserve">Граф-аналіз і ML-класифікатор накруток</w:t>
            </w:r>
          </w:p>
        </w:tc>
      </w:tr>
      <w:tr>
        <w:tc>
          <w:tcPr/>
          <w:p>
            <w:pPr>
              <w:pStyle w:val="Compact"/>
              <w:jc w:val="left"/>
            </w:pPr>
            <w:r>
              <w:rPr>
                <w:sz w:val="20"/>
              </w:rPr>
              <w:t xml:space="preserve">Б3.5</w:t>
            </w:r>
          </w:p>
        </w:tc>
        <w:tc>
          <w:tcPr/>
          <w:p>
            <w:pPr>
              <w:pStyle w:val="Compact"/>
              <w:jc w:val="left"/>
            </w:pPr>
            <w:r>
              <w:rPr>
                <w:sz w:val="20"/>
              </w:rPr>
              <w:t xml:space="preserve">Непрозорість рейтингу</w:t>
            </w:r>
          </w:p>
        </w:tc>
        <w:tc>
          <w:tcPr/>
          <w:p>
            <w:pPr>
              <w:pStyle w:val="Compact"/>
              <w:jc w:val="left"/>
            </w:pPr>
            <w:r>
              <w:rPr>
                <w:sz w:val="20"/>
              </w:rPr>
              <w:t xml:space="preserve">Недовіра до оцінки</w:t>
            </w:r>
          </w:p>
        </w:tc>
        <w:tc>
          <w:tcPr/>
          <w:p>
            <w:pPr>
              <w:pStyle w:val="Compact"/>
              <w:jc w:val="left"/>
            </w:pPr>
            <w:r>
              <w:rPr>
                <w:sz w:val="20"/>
              </w:rPr>
              <w:t xml:space="preserve">«Паспорт рейтингу» з розкладкою складових</w:t>
            </w:r>
          </w:p>
        </w:tc>
      </w:tr>
    </w:tbl>
    <w:p>
      <w:pPr>
        <w:pStyle w:val="BodyText"/>
      </w:pPr>
      <w:r>
        <w:t xml:space="preserve">Отже, встановлено, що основні втрати в домені зумовлені відсутністю формалізованого стану замовлення, технічного зв’язку між відгуком і підтвердженою транзакцією та алгоритму агрегації, стійкого до малих вибірок і координованих дій. Усунення цих недоліків потребує автоматизації відповідних процесів, що є предметом моделі To-Be у підрозділі 1.5.</w:t>
      </w:r>
    </w:p>
    <w:bookmarkEnd w:id="38"/>
    <w:bookmarkEnd w:id="39"/>
    <w:bookmarkStart w:id="44" w:name="X31e1196bd820f685501b756705a3716ee96d92d"/>
    <w:p>
      <w:pPr>
        <w:pStyle w:val="Heading2"/>
      </w:pPr>
      <w:r>
        <w:t xml:space="preserve">1.5. Постановка задачі та формування вимог (модель To-Be, Core Features, NFRs)</w:t>
      </w:r>
    </w:p>
    <w:bookmarkStart w:id="40" w:name="концептуальна-модель-to-be"/>
    <w:p>
      <w:pPr>
        <w:pStyle w:val="Heading3"/>
      </w:pPr>
      <w:r>
        <w:t xml:space="preserve">1.5.1. Концептуальна модель To-Be</w:t>
      </w:r>
    </w:p>
    <w:p>
      <w:pPr>
        <w:pStyle w:val="FirstParagraph"/>
      </w:pPr>
      <w:r>
        <w:t xml:space="preserve">У цільовому стані взаємодія замовника, майстра та системи відбувається за таким сценарієм.</w:t>
      </w:r>
    </w:p>
    <w:p>
      <w:pPr>
        <w:numPr>
          <w:ilvl w:val="0"/>
          <w:numId w:val="1008"/>
        </w:numPr>
        <w:pStyle w:val="Compact"/>
      </w:pPr>
      <w:r>
        <w:rPr>
          <w:bCs/>
          <w:b/>
        </w:rPr>
        <w:t xml:space="preserve">Пошук.</w:t>
      </w:r>
      <w:r>
        <w:t xml:space="preserve"> </w:t>
      </w:r>
      <w:r>
        <w:t xml:space="preserve">Замовник знаходить майстрів у каталозі за категорією, районом і текстовим запитом. Індексація виконується засобами PostgreSQL (pg_trgm), сортування — за рейтингом довіри. Усуваються вузькі місця Б1.1-Б1.3.</w:t>
      </w:r>
    </w:p>
    <w:p>
      <w:pPr>
        <w:numPr>
          <w:ilvl w:val="0"/>
          <w:numId w:val="1008"/>
        </w:numPr>
        <w:pStyle w:val="Compact"/>
      </w:pPr>
      <w:r>
        <w:rPr>
          <w:bCs/>
          <w:b/>
        </w:rPr>
        <w:t xml:space="preserve">Створення запиту.</w:t>
      </w:r>
      <w:r>
        <w:t xml:space="preserve"> </w:t>
      </w:r>
      <w:r>
        <w:t xml:space="preserve">Замовник описує проблему й додає фотографії. Метадані EXIF видаляються перед збереженням. Асинхронний воркер визначає тип несправності та формує підказку: перелік матеріалів та інструментів. Підказка відображається майстру в картці замовлення, і майстер її підтверджує або коригує (усунення Б2.3).</w:t>
      </w:r>
    </w:p>
    <w:p>
      <w:pPr>
        <w:numPr>
          <w:ilvl w:val="0"/>
          <w:numId w:val="1008"/>
        </w:numPr>
        <w:pStyle w:val="Compact"/>
      </w:pPr>
      <w:r>
        <w:rPr>
          <w:bCs/>
          <w:b/>
        </w:rPr>
        <w:t xml:space="preserve">Життєвий цикл замовлення.</w:t>
      </w:r>
      <w:r>
        <w:t xml:space="preserve"> </w:t>
      </w:r>
      <w:r>
        <w:t xml:space="preserve">Замовлення проходить стани «створено → прийнято → виконується → виконано → підтверджено / оскаржено». Допустимі переходи визначені скінченним автоматом і контролюються на рівні застосунку та обмежень цілісності PostgreSQL (усунення Б1.4, Б2.1).</w:t>
      </w:r>
    </w:p>
    <w:p>
      <w:pPr>
        <w:numPr>
          <w:ilvl w:val="0"/>
          <w:numId w:val="1008"/>
        </w:numPr>
        <w:pStyle w:val="Compact"/>
      </w:pPr>
      <w:r>
        <w:rPr>
          <w:bCs/>
          <w:b/>
        </w:rPr>
        <w:t xml:space="preserve">Доставка подій.</w:t>
      </w:r>
      <w:r>
        <w:t xml:space="preserve"> </w:t>
      </w:r>
      <w:r>
        <w:t xml:space="preserve">Кожна зміна статусу записується в таблицю outbox у тій самій транзакції. Ретранслятор публікує події до черги Celery із семантикою «щонайменше один раз», а споживачі є ідемпотентними. Сповіщення в Telegram, перерахунок рейтингу та аналіз фотографій виконуються асинхронно (усунення Б2.4).</w:t>
      </w:r>
    </w:p>
    <w:p>
      <w:pPr>
        <w:numPr>
          <w:ilvl w:val="0"/>
          <w:numId w:val="1008"/>
        </w:numPr>
        <w:pStyle w:val="Compact"/>
      </w:pPr>
      <w:r>
        <w:rPr>
          <w:bCs/>
          <w:b/>
        </w:rPr>
        <w:t xml:space="preserve">Відгук.</w:t>
      </w:r>
      <w:r>
        <w:t xml:space="preserve"> </w:t>
      </w:r>
      <w:r>
        <w:t xml:space="preserve">Відгук приймається лише для замовлення в статусі «підтверджено» й лише один на замовлення; обмеження реалізується складеним зовнішнім ключем і унікальним індексом у PostgreSQL (усунення Б2.2, Б3.2).</w:t>
      </w:r>
    </w:p>
    <w:p>
      <w:pPr>
        <w:numPr>
          <w:ilvl w:val="0"/>
          <w:numId w:val="1008"/>
        </w:numPr>
        <w:pStyle w:val="Compact"/>
      </w:pPr>
      <w:r>
        <w:rPr>
          <w:bCs/>
          <w:b/>
        </w:rPr>
        <w:t xml:space="preserve">Рейтинг довіри.</w:t>
      </w:r>
      <w:r>
        <w:t xml:space="preserve"> </w:t>
      </w:r>
      <w:r>
        <w:t xml:space="preserve">Рейтинг обчислюється із зваженим байєсівським згладжуванням:</w:t>
      </w:r>
    </w:p>
    <w:p>
      <w:pPr>
        <w:pStyle w:val="FirstParagraph"/>
      </w:pPr>
      <m:oMathPara>
        <m:oMathParaPr>
          <m:jc m:val="center"/>
        </m:oMathParaPr>
        <m:oMath>
          <m:r>
            <m:t>R</m:t>
          </m:r>
          <m:r>
            <m:rPr>
              <m:sty m:val="p"/>
            </m:rPr>
            <m:t>=</m:t>
          </m:r>
          <m:f>
            <m:fPr>
              <m:type m:val="bar"/>
            </m:fPr>
            <m:num>
              <m:nary>
                <m:naryPr>
                  <m:chr m:val="∑"/>
                  <m:limLoc m:val="undOvr"/>
                  <m:subHide m:val="off"/>
                  <m:supHide m:val="off"/>
                </m:naryPr>
                <m:sub>
                  <m:r>
                    <m:t>k</m:t>
                  </m:r>
                  <m:r>
                    <m:rPr>
                      <m:sty m:val="p"/>
                    </m:rPr>
                    <m:t>=</m:t>
                  </m:r>
                  <m:r>
                    <m:t>1</m:t>
                  </m:r>
                </m:sub>
                <m:sup>
                  <m:r>
                    <m:t>v</m:t>
                  </m:r>
                </m:sup>
                <m:e>
                  <m:sSub>
                    <m:e>
                      <m:r>
                        <m:t>w</m:t>
                      </m:r>
                    </m:e>
                    <m:sub>
                      <m:r>
                        <m:t>k</m:t>
                      </m:r>
                    </m:sub>
                  </m:sSub>
                </m:e>
              </m:nary>
              <m:sSub>
                <m:e>
                  <m:r>
                    <m:t>r</m:t>
                  </m:r>
                </m:e>
                <m:sub>
                  <m:r>
                    <m:t>k</m:t>
                  </m:r>
                </m:sub>
              </m:sSub>
              <m:r>
                <m:rPr>
                  <m:sty m:val="p"/>
                </m:rPr>
                <m:t>+</m:t>
              </m:r>
              <m:r>
                <m:t>m</m:t>
              </m:r>
              <m:r>
                <m:rPr>
                  <m:sty m:val="p"/>
                </m:rPr>
                <m:t>⋅</m:t>
              </m:r>
              <m:r>
                <m:t>C</m:t>
              </m:r>
            </m:num>
            <m:den>
              <m:nary>
                <m:naryPr>
                  <m:chr m:val="∑"/>
                  <m:limLoc m:val="undOvr"/>
                  <m:subHide m:val="off"/>
                  <m:supHide m:val="off"/>
                </m:naryPr>
                <m:sub>
                  <m:r>
                    <m:t>k</m:t>
                  </m:r>
                  <m:r>
                    <m:rPr>
                      <m:sty m:val="p"/>
                    </m:rPr>
                    <m:t>=</m:t>
                  </m:r>
                  <m:r>
                    <m:t>1</m:t>
                  </m:r>
                </m:sub>
                <m:sup>
                  <m:r>
                    <m:t>v</m:t>
                  </m:r>
                </m:sup>
                <m:e>
                  <m:sSub>
                    <m:e>
                      <m:r>
                        <m:t>w</m:t>
                      </m:r>
                    </m:e>
                    <m:sub>
                      <m:r>
                        <m:t>k</m:t>
                      </m:r>
                    </m:sub>
                  </m:sSub>
                </m:e>
              </m:nary>
              <m:r>
                <m:rPr>
                  <m:sty m:val="p"/>
                </m:rPr>
                <m:t>+</m:t>
              </m:r>
              <m:r>
                <m:t>m</m:t>
              </m:r>
            </m:den>
          </m:f>
          <m:r>
            <m:rPr>
              <m:sty m:val="p"/>
            </m:rPr>
            <m:t>+</m:t>
          </m:r>
          <m:r>
            <m:t>B</m:t>
          </m:r>
          <m:r>
            <m:rPr>
              <m:sty m:val="p"/>
            </m:rPr>
            <m:t>−</m:t>
          </m:r>
          <m:r>
            <m:t>P</m:t>
          </m:r>
          <m:r>
            <m:rPr>
              <m:sty m:val="p"/>
            </m:rPr>
            <m:t>,</m:t>
          </m:r>
        </m:oMath>
      </m:oMathPara>
    </w:p>
    <w:p>
      <w:pPr>
        <w:pStyle w:val="FirstParagraph"/>
      </w:pPr>
      <w:r>
        <w:t xml:space="preserve">де</w:t>
      </w:r>
      <w:r>
        <w:t xml:space="preserve"> </w:t>
      </w:r>
      <m:oMath>
        <m:sSub>
          <m:e>
            <m:r>
              <m:t>r</m:t>
            </m:r>
          </m:e>
          <m:sub>
            <m:r>
              <m:t>k</m:t>
            </m:r>
          </m:sub>
        </m:sSub>
      </m:oMath>
      <w:r>
        <w:t xml:space="preserve"> </w:t>
      </w:r>
      <w:r>
        <w:t xml:space="preserve">— оцінка</w:t>
      </w:r>
      <w:r>
        <w:t xml:space="preserve"> </w:t>
      </w:r>
      <m:oMath>
        <m:r>
          <m:t>k</m:t>
        </m:r>
      </m:oMath>
      <w:r>
        <w:t xml:space="preserve">-го відгуку;</w:t>
      </w:r>
      <w:r>
        <w:t xml:space="preserve"> </w:t>
      </w:r>
      <m:oMath>
        <m:sSub>
          <m:e>
            <m:r>
              <m:t>w</m:t>
            </m:r>
          </m:e>
          <m:sub>
            <m:r>
              <m:t>k</m:t>
            </m:r>
          </m:sub>
        </m:sSub>
        <m:r>
          <m:rPr>
            <m:sty m:val="p"/>
          </m:rPr>
          <m:t>=</m:t>
        </m:r>
        <m:sSubSup>
          <m:e>
            <m:r>
              <m:t>w</m:t>
            </m:r>
          </m:e>
          <m:sub>
            <m:r>
              <m:t>k</m:t>
            </m:r>
          </m:sub>
          <m:sup>
            <m:r>
              <m:t>d</m:t>
            </m:r>
          </m:sup>
        </m:sSubSup>
        <m:r>
          <m:rPr>
            <m:sty m:val="p"/>
          </m:rPr>
          <m:t>⋅</m:t>
        </m:r>
        <m:sSup>
          <m:e>
            <m:r>
              <m:t>2</m:t>
            </m:r>
          </m:e>
          <m:sup>
            <m:r>
              <m:rPr>
                <m:sty m:val="p"/>
              </m:rPr>
              <m:t>−</m:t>
            </m:r>
            <m:r>
              <m:t>Δ</m:t>
            </m:r>
            <m:sSub>
              <m:e>
                <m:r>
                  <m:t>t</m:t>
                </m:r>
              </m:e>
              <m:sub>
                <m:r>
                  <m:t>k</m:t>
                </m:r>
              </m:sub>
            </m:sSub>
            <m:r>
              <m:rPr>
                <m:sty m:val="p"/>
              </m:rPr>
              <m:t>/</m:t>
            </m:r>
            <m:r>
              <m:t>τ</m:t>
            </m:r>
          </m:sup>
        </m:sSup>
      </m:oMath>
      <w:r>
        <w:t xml:space="preserve"> </w:t>
      </w:r>
      <w:r>
        <w:t xml:space="preserve">— вага відгуку;</w:t>
      </w:r>
      <w:r>
        <w:t xml:space="preserve"> </w:t>
      </w:r>
      <m:oMath>
        <m:sSubSup>
          <m:e>
            <m:r>
              <m:t>w</m:t>
            </m:r>
          </m:e>
          <m:sub>
            <m:r>
              <m:t>k</m:t>
            </m:r>
          </m:sub>
          <m:sup>
            <m:r>
              <m:t>d</m:t>
            </m:r>
          </m:sup>
        </m:sSubSup>
        <m:r>
          <m:rPr>
            <m:sty m:val="p"/>
          </m:rPr>
          <m:t>=</m:t>
        </m:r>
        <m:r>
          <m:t>α</m:t>
        </m:r>
      </m:oMath>
      <w:r>
        <w:t xml:space="preserve"> </w:t>
      </w:r>
      <w:r>
        <w:t xml:space="preserve">(</w:t>
      </w:r>
      <m:oMath>
        <m:r>
          <m:t>α</m:t>
        </m:r>
        <m:r>
          <m:rPr>
            <m:sty m:val="p"/>
          </m:rPr>
          <m:t>&gt;</m:t>
        </m:r>
        <m:r>
          <m:t>1</m:t>
        </m:r>
      </m:oMath>
      <w:r>
        <w:t xml:space="preserve">), якщо автор відгуку й майстер належать до одного району, і</w:t>
      </w:r>
      <w:r>
        <w:t xml:space="preserve"> </w:t>
      </w:r>
      <m:oMath>
        <m:sSubSup>
          <m:e>
            <m:r>
              <m:t>w</m:t>
            </m:r>
          </m:e>
          <m:sub>
            <m:r>
              <m:t>k</m:t>
            </m:r>
          </m:sub>
          <m:sup>
            <m:r>
              <m:t>d</m:t>
            </m:r>
          </m:sup>
        </m:sSubSup>
        <m:r>
          <m:rPr>
            <m:sty m:val="p"/>
          </m:rPr>
          <m:t>=</m:t>
        </m:r>
        <m:r>
          <m:t>1</m:t>
        </m:r>
      </m:oMath>
      <w:r>
        <w:t xml:space="preserve"> </w:t>
      </w:r>
      <w:r>
        <w:t xml:space="preserve">в іншому випадку;</w:t>
      </w:r>
      <w:r>
        <w:t xml:space="preserve"> </w:t>
      </w:r>
      <m:oMath>
        <m:r>
          <m:t>Δ</m:t>
        </m:r>
        <m:sSub>
          <m:e>
            <m:r>
              <m:t>t</m:t>
            </m:r>
          </m:e>
          <m:sub>
            <m:r>
              <m:t>k</m:t>
            </m:r>
          </m:sub>
        </m:sSub>
      </m:oMath>
      <w:r>
        <w:t xml:space="preserve"> </w:t>
      </w:r>
      <w:r>
        <w:t xml:space="preserve">— вік відгуку;</w:t>
      </w:r>
      <w:r>
        <w:t xml:space="preserve"> </w:t>
      </w:r>
      <m:oMath>
        <m:r>
          <m:t>τ</m:t>
        </m:r>
      </m:oMath>
      <w:r>
        <w:t xml:space="preserve"> </w:t>
      </w:r>
      <w:r>
        <w:t xml:space="preserve">— період напіврозпаду;</w:t>
      </w:r>
      <w:r>
        <w:t xml:space="preserve"> </w:t>
      </w:r>
      <m:oMath>
        <m:r>
          <m:t>m</m:t>
        </m:r>
      </m:oMath>
      <w:r>
        <w:t xml:space="preserve"> </w:t>
      </w:r>
      <w:r>
        <w:t xml:space="preserve">— параметр згладжування;</w:t>
      </w:r>
      <w:r>
        <w:t xml:space="preserve"> </w:t>
      </w:r>
      <m:oMath>
        <m:r>
          <m:t>C</m:t>
        </m:r>
      </m:oMath>
      <w:r>
        <w:t xml:space="preserve"> </w:t>
      </w:r>
      <w:r>
        <w:t xml:space="preserve">— середня оцінка за платформою;</w:t>
      </w:r>
      <w:r>
        <w:t xml:space="preserve"> </w:t>
      </w:r>
      <m:oMath>
        <m:r>
          <m:t>B</m:t>
        </m:r>
      </m:oMath>
      <w:r>
        <w:t xml:space="preserve"> </w:t>
      </w:r>
      <w:r>
        <w:t xml:space="preserve">— бонус за верифікацію;</w:t>
      </w:r>
      <w:r>
        <w:t xml:space="preserve"> </w:t>
      </w:r>
      <m:oMath>
        <m:r>
          <m:t>P</m:t>
        </m:r>
      </m:oMath>
      <w:r>
        <w:t xml:space="preserve"> </w:t>
      </w:r>
      <w:r>
        <w:t xml:space="preserve">— штраф за виявлені патерни накрутки. Значення параметрів</w:t>
      </w:r>
      <w:r>
        <w:t xml:space="preserve"> </w:t>
      </w:r>
      <m:oMath>
        <m:r>
          <m:t>α</m:t>
        </m:r>
      </m:oMath>
      <w:r>
        <w:t xml:space="preserve">,</w:t>
      </w:r>
      <w:r>
        <w:t xml:space="preserve"> </w:t>
      </w:r>
      <m:oMath>
        <m:r>
          <m:t>τ</m:t>
        </m:r>
      </m:oMath>
      <w:r>
        <w:t xml:space="preserve">,</w:t>
      </w:r>
      <w:r>
        <w:t xml:space="preserve"> </w:t>
      </w:r>
      <m:oMath>
        <m:r>
          <m:t>m</m:t>
        </m:r>
      </m:oMath>
      <w:r>
        <w:t xml:space="preserve"> </w:t>
      </w:r>
      <w:r>
        <w:t xml:space="preserve">визначаються експериментально в Розділі 3. Користувач отримує «паспорт рейтингу»: розкладку складових</w:t>
      </w:r>
      <w:r>
        <w:t xml:space="preserve"> </w:t>
      </w:r>
      <m:oMath>
        <m:r>
          <m:t>R</m:t>
        </m:r>
      </m:oMath>
      <w:r>
        <w:t xml:space="preserve"> </w:t>
      </w:r>
      <w:r>
        <w:t xml:space="preserve">(усунення Б3.1, Б3.4, Б3.5).</w:t>
      </w:r>
      <w:r>
        <w:t xml:space="preserve"> </w:t>
      </w:r>
      <w:r>
        <w:t xml:space="preserve">7.</w:t>
      </w:r>
      <w:r>
        <w:t xml:space="preserve"> </w:t>
      </w:r>
      <w:r>
        <w:rPr>
          <w:bCs/>
          <w:b/>
        </w:rPr>
        <w:t xml:space="preserve">Виявлення накруток.</w:t>
      </w:r>
      <w:r>
        <w:t xml:space="preserve"> </w:t>
      </w:r>
      <w:r>
        <w:t xml:space="preserve">Асинхронний воркер будує граф взаємодій «замовник — майстер» (networkx), обчислює ознаки (частота відгуків за інтервал часу, взаємність оцінок, коефіцієнт кластеризації, схожість текстів за векторними представленнями) і передає їх класифікатору (scikit-learn). Підозрілі відгуки потрапляють у чергу модератора, а штраф</w:t>
      </w:r>
      <w:r>
        <w:t xml:space="preserve"> </w:t>
      </w:r>
      <m:oMath>
        <m:r>
          <m:t>P</m:t>
        </m:r>
      </m:oMath>
      <w:r>
        <w:t xml:space="preserve"> </w:t>
      </w:r>
      <w:r>
        <w:t xml:space="preserve">застосовується до рейтингу (усунення Б3.3).</w:t>
      </w:r>
    </w:p>
    <w:bookmarkEnd w:id="40"/>
    <w:bookmarkStart w:id="41" w:name="функціональні-вимоги-core-features"/>
    <w:p>
      <w:pPr>
        <w:pStyle w:val="Heading3"/>
      </w:pPr>
      <w:r>
        <w:t xml:space="preserve">1.5.2. Функціональні вимоги (Core Features)</w:t>
      </w:r>
    </w:p>
    <w:p>
      <w:pPr>
        <w:pStyle w:val="FirstParagraph"/>
      </w:pPr>
      <w:r>
        <w:t xml:space="preserve">Модуль «Доступ і верифікація»</w:t>
      </w:r>
    </w:p>
    <w:p>
      <w:pPr>
        <w:numPr>
          <w:ilvl w:val="0"/>
          <w:numId w:val="1009"/>
        </w:numPr>
        <w:pStyle w:val="Compact"/>
      </w:pPr>
      <w:r>
        <w:rPr>
          <w:bCs/>
          <w:b/>
        </w:rPr>
        <w:t xml:space="preserve">Core Feature 1.</w:t>
      </w:r>
      <w:r>
        <w:t xml:space="preserve"> </w:t>
      </w:r>
      <w:r>
        <w:t xml:space="preserve">Реалізувати автентифікацію (електронна пошта та пароль, вхід через Telegram), рольову модель доступу (RBAC) для ролей «замовник», «майстер», «модератор», видачу підписаних JWT, верифікацію телефону та перевірку документів майстра модератором.</w:t>
      </w:r>
    </w:p>
    <w:p>
      <w:pPr>
        <w:pStyle w:val="FirstParagraph"/>
      </w:pPr>
      <w:r>
        <w:t xml:space="preserve">Модуль «Каталог»</w:t>
      </w:r>
    </w:p>
    <w:p>
      <w:pPr>
        <w:numPr>
          <w:ilvl w:val="0"/>
          <w:numId w:val="1010"/>
        </w:numPr>
        <w:pStyle w:val="Compact"/>
      </w:pPr>
      <w:r>
        <w:rPr>
          <w:bCs/>
          <w:b/>
        </w:rPr>
        <w:t xml:space="preserve">Core Feature 2.</w:t>
      </w:r>
      <w:r>
        <w:t xml:space="preserve"> </w:t>
      </w:r>
      <w:r>
        <w:t xml:space="preserve">Забезпечити ведення профілів майстрів (послуги, ціни, портфоліо, райони обслуговування) та пошук у каталозі за категорією, районом і текстовим запитом із сортуванням за рейтингом довіри.</w:t>
      </w:r>
    </w:p>
    <w:p>
      <w:pPr>
        <w:pStyle w:val="FirstParagraph"/>
      </w:pPr>
      <w:r>
        <w:t xml:space="preserve">Модуль «Замовлення»</w:t>
      </w:r>
    </w:p>
    <w:p>
      <w:pPr>
        <w:numPr>
          <w:ilvl w:val="0"/>
          <w:numId w:val="1011"/>
        </w:numPr>
        <w:pStyle w:val="Compact"/>
      </w:pPr>
      <w:r>
        <w:rPr>
          <w:bCs/>
          <w:b/>
        </w:rPr>
        <w:t xml:space="preserve">Core Feature 3.</w:t>
      </w:r>
      <w:r>
        <w:t xml:space="preserve"> </w:t>
      </w:r>
      <w:r>
        <w:t xml:space="preserve">Керувати життєвим циклом замовлення за скінченним автоматом («створено → прийнято → виконується → виконано → підтверджено / оскаржено») з валідацією переходів, збереженням історії статусів і обмеженнями цілісності на рівні PostgreSQL.</w:t>
      </w:r>
    </w:p>
    <w:p>
      <w:pPr>
        <w:pStyle w:val="FirstParagraph"/>
      </w:pPr>
      <w:r>
        <w:t xml:space="preserve">Модуль «Відгуки»</w:t>
      </w:r>
    </w:p>
    <w:p>
      <w:pPr>
        <w:numPr>
          <w:ilvl w:val="0"/>
          <w:numId w:val="1012"/>
        </w:numPr>
        <w:pStyle w:val="Compact"/>
      </w:pPr>
      <w:r>
        <w:rPr>
          <w:bCs/>
          <w:b/>
        </w:rPr>
        <w:t xml:space="preserve">Core Feature 4.</w:t>
      </w:r>
      <w:r>
        <w:t xml:space="preserve"> </w:t>
      </w:r>
      <w:r>
        <w:t xml:space="preserve">Приймати відгук і оцінку лише для замовлень у статусі «підтверджено» за обмеженням «один відгук на замовлення» та надавати механізм подання скарг на відгук.</w:t>
      </w:r>
    </w:p>
    <w:p>
      <w:pPr>
        <w:pStyle w:val="FirstParagraph"/>
      </w:pPr>
      <w:r>
        <w:t xml:space="preserve">Модуль «Рейтинг довіри»</w:t>
      </w:r>
    </w:p>
    <w:p>
      <w:pPr>
        <w:numPr>
          <w:ilvl w:val="0"/>
          <w:numId w:val="1013"/>
        </w:numPr>
        <w:pStyle w:val="Compact"/>
      </w:pPr>
      <w:r>
        <w:rPr>
          <w:bCs/>
          <w:b/>
        </w:rPr>
        <w:t xml:space="preserve">Core Feature 5.</w:t>
      </w:r>
      <w:r>
        <w:t xml:space="preserve"> </w:t>
      </w:r>
      <w:r>
        <w:t xml:space="preserve">Обчислювати рейтинг довіри (байєсівське згладжування, вага за районом автора, затухання за давністю, бонус за верифікацію) та формувати «паспорт рейтингу» з розкладкою складових.</w:t>
      </w:r>
    </w:p>
    <w:p>
      <w:pPr>
        <w:pStyle w:val="FirstParagraph"/>
      </w:pPr>
      <w:r>
        <w:t xml:space="preserve">Модуль «Антинакрутка і модерація»</w:t>
      </w:r>
    </w:p>
    <w:p>
      <w:pPr>
        <w:numPr>
          <w:ilvl w:val="0"/>
          <w:numId w:val="1014"/>
        </w:numPr>
        <w:pStyle w:val="Compact"/>
      </w:pPr>
      <w:r>
        <w:rPr>
          <w:bCs/>
          <w:b/>
        </w:rPr>
        <w:t xml:space="preserve">Core Feature 6.</w:t>
      </w:r>
      <w:r>
        <w:t xml:space="preserve"> </w:t>
      </w:r>
      <w:r>
        <w:t xml:space="preserve">Виявляти підозрілі патерни оцінювання за графом взаємодій і ML-класифікатором, застосовувати штрафи до рейтингу та формувати чергу скарг і підозрілих відгуків для модератора з панеллю статистики.</w:t>
      </w:r>
    </w:p>
    <w:p>
      <w:pPr>
        <w:pStyle w:val="FirstParagraph"/>
      </w:pPr>
      <w:r>
        <w:t xml:space="preserve">Модуль «Події та сповіщення»</w:t>
      </w:r>
    </w:p>
    <w:p>
      <w:pPr>
        <w:numPr>
          <w:ilvl w:val="0"/>
          <w:numId w:val="1015"/>
        </w:numPr>
        <w:pStyle w:val="Compact"/>
      </w:pPr>
      <w:r>
        <w:rPr>
          <w:bCs/>
          <w:b/>
        </w:rPr>
        <w:t xml:space="preserve">Core Feature 7.</w:t>
      </w:r>
      <w:r>
        <w:t xml:space="preserve"> </w:t>
      </w:r>
      <w:r>
        <w:t xml:space="preserve">Гарантувати доставку подій за патерном Transactional Outbox, виконувати асинхронні задачі в Celery (перерахунок рейтингу, аналіз зображень, сповіщення) і надсилати користувачам повідомлення про зміну статусу замовлення через Telegram-бота.</w:t>
      </w:r>
    </w:p>
    <w:p>
      <w:pPr>
        <w:pStyle w:val="FirstParagraph"/>
      </w:pPr>
      <w:r>
        <w:t xml:space="preserve">Модуль «Діагностика за фото»</w:t>
      </w:r>
    </w:p>
    <w:p>
      <w:pPr>
        <w:numPr>
          <w:ilvl w:val="0"/>
          <w:numId w:val="1016"/>
        </w:numPr>
        <w:pStyle w:val="Compact"/>
      </w:pPr>
      <w:r>
        <w:rPr>
          <w:bCs/>
          <w:b/>
        </w:rPr>
        <w:t xml:space="preserve">Core Feature 8.</w:t>
      </w:r>
      <w:r>
        <w:t xml:space="preserve"> </w:t>
      </w:r>
      <w:r>
        <w:t xml:space="preserve">Визначати за фотографією несправності її тип (zero-shot класифікація) і формувати для майстра підказку з переліком матеріалів та інструментів за базою знань, зберігаючи правки майстра для оцінювання якості.</w:t>
      </w:r>
    </w:p>
    <w:bookmarkEnd w:id="41"/>
    <w:bookmarkStart w:id="42" w:name="нефункціональні-вимоги-nfrs"/>
    <w:p>
      <w:pPr>
        <w:pStyle w:val="Heading3"/>
      </w:pPr>
      <w:r>
        <w:t xml:space="preserve">1.5.3. Нефункціональні вимоги (NFRs)</w:t>
      </w:r>
    </w:p>
    <w:p>
      <w:pPr>
        <w:pStyle w:val="FirstParagraph"/>
      </w:pPr>
      <w:r>
        <w:t xml:space="preserve">Значення вимог встановлено для цільового вузла: 4 vCPU, 8 ГБ RAM, SSD, Docker Compose; навантаження вимірюється засобом k6. Вимоги підлягають верифікації у Розділі 3.</w:t>
      </w:r>
    </w:p>
    <w:p>
      <w:pPr>
        <w:pStyle w:val="BodyText"/>
      </w:pPr>
      <w:r>
        <w:t xml:space="preserve">Таблиця 1.6 – Матриця нефункціональних вимог</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jc w:val="left"/>
            </w:pPr>
            <w:r>
              <w:rPr>
                <w:b/>
                <w:sz w:val="20"/>
              </w:rPr>
              <w:t xml:space="preserve">ID</w:t>
            </w:r>
          </w:p>
        </w:tc>
        <w:tc>
          <w:tcPr/>
          <w:p>
            <w:pPr>
              <w:pStyle w:val="Compact"/>
              <w:jc w:val="left"/>
            </w:pPr>
            <w:r>
              <w:rPr>
                <w:b/>
                <w:sz w:val="20"/>
              </w:rPr>
              <w:t xml:space="preserve">Категорія</w:t>
            </w:r>
          </w:p>
        </w:tc>
        <w:tc>
          <w:tcPr/>
          <w:p>
            <w:pPr>
              <w:pStyle w:val="Compact"/>
              <w:jc w:val="left"/>
            </w:pPr>
            <w:r>
              <w:rPr>
                <w:b/>
                <w:sz w:val="20"/>
              </w:rPr>
              <w:t xml:space="preserve">Вимога</w:t>
            </w:r>
          </w:p>
        </w:tc>
        <w:tc>
          <w:tcPr/>
          <w:p>
            <w:pPr>
              <w:pStyle w:val="Compact"/>
              <w:jc w:val="left"/>
            </w:pPr>
            <w:r>
              <w:rPr>
                <w:b/>
                <w:sz w:val="20"/>
              </w:rPr>
              <w:t xml:space="preserve">Метод перевірки</w:t>
            </w:r>
          </w:p>
        </w:tc>
      </w:tr>
      <w:tr>
        <w:tc>
          <w:tcPr/>
          <w:p>
            <w:pPr>
              <w:pStyle w:val="Compact"/>
              <w:jc w:val="left"/>
            </w:pPr>
            <w:r>
              <w:rPr>
                <w:sz w:val="20"/>
              </w:rPr>
              <w:t xml:space="preserve">NFR-P1</w:t>
            </w:r>
          </w:p>
        </w:tc>
        <w:tc>
          <w:tcPr/>
          <w:p>
            <w:pPr>
              <w:pStyle w:val="Compact"/>
              <w:jc w:val="left"/>
            </w:pPr>
            <w:r>
              <w:rPr>
                <w:sz w:val="20"/>
              </w:rPr>
              <w:t xml:space="preserve">Продуктивність</w:t>
            </w:r>
          </w:p>
        </w:tc>
        <w:tc>
          <w:tcPr/>
          <w:p>
            <w:pPr>
              <w:pStyle w:val="Compact"/>
              <w:jc w:val="left"/>
            </w:pPr>
            <w:r>
              <w:rPr>
                <w:sz w:val="20"/>
              </w:rPr>
              <w:t xml:space="preserve">Запит каталогу (кешований у Redis): Latency p95 ≤ 200 мс при 200 RPS протягом 10 хв</w:t>
            </w:r>
          </w:p>
        </w:tc>
        <w:tc>
          <w:tcPr/>
          <w:p>
            <w:pPr>
              <w:pStyle w:val="Compact"/>
              <w:jc w:val="left"/>
            </w:pPr>
            <w:r>
              <w:rPr>
                <w:sz w:val="20"/>
              </w:rPr>
              <w:t xml:space="preserve">k6, сценарій навантаження</w:t>
            </w:r>
          </w:p>
        </w:tc>
      </w:tr>
      <w:tr>
        <w:tc>
          <w:tcPr/>
          <w:p>
            <w:pPr>
              <w:pStyle w:val="Compact"/>
              <w:jc w:val="left"/>
            </w:pPr>
            <w:r>
              <w:rPr>
                <w:sz w:val="20"/>
              </w:rPr>
              <w:t xml:space="preserve">NFR-P2</w:t>
            </w:r>
          </w:p>
        </w:tc>
        <w:tc>
          <w:tcPr/>
          <w:p>
            <w:pPr>
              <w:pStyle w:val="Compact"/>
              <w:jc w:val="left"/>
            </w:pPr>
            <w:r>
              <w:rPr>
                <w:sz w:val="20"/>
              </w:rPr>
              <w:t xml:space="preserve">Продуктивність</w:t>
            </w:r>
          </w:p>
        </w:tc>
        <w:tc>
          <w:tcPr/>
          <w:p>
            <w:pPr>
              <w:pStyle w:val="Compact"/>
              <w:jc w:val="left"/>
            </w:pPr>
            <w:r>
              <w:rPr>
                <w:sz w:val="20"/>
              </w:rPr>
              <w:t xml:space="preserve">Пошук за текстовим запитом (pg_trgm, без кешу): Latency p95 ≤ 400 мс при 50 RPS</w:t>
            </w:r>
          </w:p>
        </w:tc>
        <w:tc>
          <w:tcPr/>
          <w:p>
            <w:pPr>
              <w:pStyle w:val="Compact"/>
              <w:jc w:val="left"/>
            </w:pPr>
            <w:r>
              <w:rPr>
                <w:sz w:val="20"/>
              </w:rPr>
              <w:t xml:space="preserve">k6</w:t>
            </w:r>
          </w:p>
        </w:tc>
      </w:tr>
      <w:tr>
        <w:tc>
          <w:tcPr/>
          <w:p>
            <w:pPr>
              <w:pStyle w:val="Compact"/>
              <w:jc w:val="left"/>
            </w:pPr>
            <w:r>
              <w:rPr>
                <w:sz w:val="20"/>
              </w:rPr>
              <w:t xml:space="preserve">NFR-P3</w:t>
            </w:r>
          </w:p>
        </w:tc>
        <w:tc>
          <w:tcPr/>
          <w:p>
            <w:pPr>
              <w:pStyle w:val="Compact"/>
              <w:jc w:val="left"/>
            </w:pPr>
            <w:r>
              <w:rPr>
                <w:sz w:val="20"/>
              </w:rPr>
              <w:t xml:space="preserve">Продуктивність</w:t>
            </w:r>
          </w:p>
        </w:tc>
        <w:tc>
          <w:tcPr/>
          <w:p>
            <w:pPr>
              <w:pStyle w:val="Compact"/>
              <w:jc w:val="left"/>
            </w:pPr>
            <w:r>
              <w:rPr>
                <w:sz w:val="20"/>
              </w:rPr>
              <w:t xml:space="preserve">Операції запису (створення замовлення, зміна статусу): Latency p95 ≤ 500 мс при 20 RPS</w:t>
            </w:r>
          </w:p>
        </w:tc>
        <w:tc>
          <w:tcPr/>
          <w:p>
            <w:pPr>
              <w:pStyle w:val="Compact"/>
              <w:jc w:val="left"/>
            </w:pPr>
            <w:r>
              <w:rPr>
                <w:sz w:val="20"/>
              </w:rPr>
              <w:t xml:space="preserve">k6</w:t>
            </w:r>
          </w:p>
        </w:tc>
      </w:tr>
      <w:tr>
        <w:tc>
          <w:tcPr/>
          <w:p>
            <w:pPr>
              <w:pStyle w:val="Compact"/>
              <w:jc w:val="left"/>
            </w:pPr>
            <w:r>
              <w:rPr>
                <w:sz w:val="20"/>
              </w:rPr>
              <w:t xml:space="preserve">NFR-P4</w:t>
            </w:r>
          </w:p>
        </w:tc>
        <w:tc>
          <w:tcPr/>
          <w:p>
            <w:pPr>
              <w:pStyle w:val="Compact"/>
              <w:jc w:val="left"/>
            </w:pPr>
            <w:r>
              <w:rPr>
                <w:sz w:val="20"/>
              </w:rPr>
              <w:t xml:space="preserve">Продуктивність</w:t>
            </w:r>
          </w:p>
        </w:tc>
        <w:tc>
          <w:tcPr/>
          <w:p>
            <w:pPr>
              <w:pStyle w:val="Compact"/>
              <w:jc w:val="left"/>
            </w:pPr>
            <w:r>
              <w:rPr>
                <w:sz w:val="20"/>
              </w:rPr>
              <w:t xml:space="preserve">Частка відповідей 5xx &lt; 1 % під час усіх навантажувальних сценаріїв</w:t>
            </w:r>
          </w:p>
        </w:tc>
        <w:tc>
          <w:tcPr/>
          <w:p>
            <w:pPr>
              <w:pStyle w:val="Compact"/>
              <w:jc w:val="left"/>
            </w:pPr>
            <w:r>
              <w:rPr>
                <w:sz w:val="20"/>
              </w:rPr>
              <w:t xml:space="preserve">k6, Prometheus</w:t>
            </w:r>
          </w:p>
        </w:tc>
      </w:tr>
      <w:tr>
        <w:tc>
          <w:tcPr/>
          <w:p>
            <w:pPr>
              <w:pStyle w:val="Compact"/>
              <w:jc w:val="left"/>
            </w:pPr>
            <w:r>
              <w:rPr>
                <w:sz w:val="20"/>
              </w:rPr>
              <w:t xml:space="preserve">NFR-A1</w:t>
            </w:r>
          </w:p>
        </w:tc>
        <w:tc>
          <w:tcPr/>
          <w:p>
            <w:pPr>
              <w:pStyle w:val="Compact"/>
              <w:jc w:val="left"/>
            </w:pPr>
            <w:r>
              <w:rPr>
                <w:sz w:val="20"/>
              </w:rPr>
              <w:t xml:space="preserve">Асинхронність</w:t>
            </w:r>
          </w:p>
        </w:tc>
        <w:tc>
          <w:tcPr/>
          <w:p>
            <w:pPr>
              <w:pStyle w:val="Compact"/>
              <w:jc w:val="left"/>
            </w:pPr>
            <w:r>
              <w:rPr>
                <w:sz w:val="20"/>
              </w:rPr>
              <w:t xml:space="preserve">Затримка від фіксації транзакції до появи події в черзі (Outbox lag): p95 ≤ 5 с</w:t>
            </w:r>
          </w:p>
        </w:tc>
        <w:tc>
          <w:tcPr/>
          <w:p>
            <w:pPr>
              <w:pStyle w:val="Compact"/>
              <w:jc w:val="left"/>
            </w:pPr>
            <w:r>
              <w:rPr>
                <w:sz w:val="20"/>
              </w:rPr>
              <w:t xml:space="preserve">Метрика Prometheus</w:t>
            </w:r>
          </w:p>
        </w:tc>
      </w:tr>
      <w:tr>
        <w:tc>
          <w:tcPr/>
          <w:p>
            <w:pPr>
              <w:pStyle w:val="Compact"/>
              <w:jc w:val="left"/>
            </w:pPr>
            <w:r>
              <w:rPr>
                <w:sz w:val="20"/>
              </w:rPr>
              <w:t xml:space="preserve">NFR-A2</w:t>
            </w:r>
          </w:p>
        </w:tc>
        <w:tc>
          <w:tcPr/>
          <w:p>
            <w:pPr>
              <w:pStyle w:val="Compact"/>
              <w:jc w:val="left"/>
            </w:pPr>
            <w:r>
              <w:rPr>
                <w:sz w:val="20"/>
              </w:rPr>
              <w:t xml:space="preserve">Асинхронність</w:t>
            </w:r>
          </w:p>
        </w:tc>
        <w:tc>
          <w:tcPr/>
          <w:p>
            <w:pPr>
              <w:pStyle w:val="Compact"/>
              <w:jc w:val="left"/>
            </w:pPr>
            <w:r>
              <w:rPr>
                <w:sz w:val="20"/>
              </w:rPr>
              <w:t xml:space="preserve">Оновлення рейтингу після підтвердження замовлення: p95 ≤ 30 с</w:t>
            </w:r>
          </w:p>
        </w:tc>
        <w:tc>
          <w:tcPr/>
          <w:p>
            <w:pPr>
              <w:pStyle w:val="Compact"/>
              <w:jc w:val="left"/>
            </w:pPr>
            <w:r>
              <w:rPr>
                <w:sz w:val="20"/>
              </w:rPr>
              <w:t xml:space="preserve">Інтеграційний тест, метрика</w:t>
            </w:r>
          </w:p>
        </w:tc>
      </w:tr>
      <w:tr>
        <w:tc>
          <w:tcPr/>
          <w:p>
            <w:pPr>
              <w:pStyle w:val="Compact"/>
              <w:jc w:val="left"/>
            </w:pPr>
            <w:r>
              <w:rPr>
                <w:sz w:val="20"/>
              </w:rPr>
              <w:t xml:space="preserve">NFR-A3</w:t>
            </w:r>
          </w:p>
        </w:tc>
        <w:tc>
          <w:tcPr/>
          <w:p>
            <w:pPr>
              <w:pStyle w:val="Compact"/>
              <w:jc w:val="left"/>
            </w:pPr>
            <w:r>
              <w:rPr>
                <w:sz w:val="20"/>
              </w:rPr>
              <w:t xml:space="preserve">Асинхронність</w:t>
            </w:r>
          </w:p>
        </w:tc>
        <w:tc>
          <w:tcPr/>
          <w:p>
            <w:pPr>
              <w:pStyle w:val="Compact"/>
              <w:jc w:val="left"/>
            </w:pPr>
            <w:r>
              <w:rPr>
                <w:sz w:val="20"/>
              </w:rPr>
              <w:t xml:space="preserve">Аналіз однієї фотографії ≤ 60 с на CPU вузла; виконання не збільшує Latency p95 API більше ніж на 10 %</w:t>
            </w:r>
          </w:p>
        </w:tc>
        <w:tc>
          <w:tcPr/>
          <w:p>
            <w:pPr>
              <w:pStyle w:val="Compact"/>
              <w:jc w:val="left"/>
            </w:pPr>
            <w:r>
              <w:rPr>
                <w:sz w:val="20"/>
              </w:rPr>
              <w:t xml:space="preserve">k6 з паралельним аналізом</w:t>
            </w:r>
          </w:p>
        </w:tc>
      </w:tr>
      <w:tr>
        <w:tc>
          <w:tcPr/>
          <w:p>
            <w:pPr>
              <w:pStyle w:val="Compact"/>
              <w:jc w:val="left"/>
            </w:pPr>
            <w:r>
              <w:rPr>
                <w:sz w:val="20"/>
              </w:rPr>
              <w:t xml:space="preserve">NFR-A4</w:t>
            </w:r>
          </w:p>
        </w:tc>
        <w:tc>
          <w:tcPr/>
          <w:p>
            <w:pPr>
              <w:pStyle w:val="Compact"/>
              <w:jc w:val="left"/>
            </w:pPr>
            <w:r>
              <w:rPr>
                <w:sz w:val="20"/>
              </w:rPr>
              <w:t xml:space="preserve">Надійність подій</w:t>
            </w:r>
          </w:p>
        </w:tc>
        <w:tc>
          <w:tcPr/>
          <w:p>
            <w:pPr>
              <w:pStyle w:val="Compact"/>
              <w:jc w:val="left"/>
            </w:pPr>
            <w:r>
              <w:rPr>
                <w:sz w:val="20"/>
              </w:rPr>
              <w:t xml:space="preserve">Втрата подій = 0 при примусовому перезапуску Redis і воркера; семантика «щонайменше один раз», ідемпотентні споживачі</w:t>
            </w:r>
          </w:p>
        </w:tc>
        <w:tc>
          <w:tcPr/>
          <w:p>
            <w:pPr>
              <w:pStyle w:val="Compact"/>
              <w:jc w:val="left"/>
            </w:pPr>
            <w:r>
              <w:rPr>
                <w:sz w:val="20"/>
              </w:rPr>
              <w:t xml:space="preserve">Інтеграційний тест відмов</w:t>
            </w:r>
          </w:p>
        </w:tc>
      </w:tr>
      <w:tr>
        <w:tc>
          <w:tcPr/>
          <w:p>
            <w:pPr>
              <w:pStyle w:val="Compact"/>
              <w:jc w:val="left"/>
            </w:pPr>
            <w:r>
              <w:rPr>
                <w:sz w:val="20"/>
              </w:rPr>
              <w:t xml:space="preserve">NFR-S1</w:t>
            </w:r>
          </w:p>
        </w:tc>
        <w:tc>
          <w:tcPr/>
          <w:p>
            <w:pPr>
              <w:pStyle w:val="Compact"/>
              <w:jc w:val="left"/>
            </w:pPr>
            <w:r>
              <w:rPr>
                <w:sz w:val="20"/>
              </w:rPr>
              <w:t xml:space="preserve">Масштабованість</w:t>
            </w:r>
          </w:p>
        </w:tc>
        <w:tc>
          <w:tcPr/>
          <w:p>
            <w:pPr>
              <w:pStyle w:val="Compact"/>
              <w:jc w:val="left"/>
            </w:pPr>
            <w:r>
              <w:rPr>
                <w:sz w:val="20"/>
              </w:rPr>
              <w:t xml:space="preserve">Підтримка 10 000 користувачів, 2 000 майстрів, 100 000 відгуків на одному вузлі; перерахунок графових ознак для 100 000 ребер ≤ 60 с</w:t>
            </w:r>
          </w:p>
        </w:tc>
        <w:tc>
          <w:tcPr/>
          <w:p>
            <w:pPr>
              <w:pStyle w:val="Compact"/>
              <w:jc w:val="left"/>
            </w:pPr>
            <w:r>
              <w:rPr>
                <w:sz w:val="20"/>
              </w:rPr>
              <w:t xml:space="preserve">Генератор даних, замір часу</w:t>
            </w:r>
          </w:p>
        </w:tc>
      </w:tr>
      <w:tr>
        <w:tc>
          <w:tcPr/>
          <w:p>
            <w:pPr>
              <w:pStyle w:val="Compact"/>
              <w:jc w:val="left"/>
            </w:pPr>
            <w:r>
              <w:rPr>
                <w:sz w:val="20"/>
              </w:rPr>
              <w:t xml:space="preserve">NFR-SEC1</w:t>
            </w:r>
          </w:p>
        </w:tc>
        <w:tc>
          <w:tcPr/>
          <w:p>
            <w:pPr>
              <w:pStyle w:val="Compact"/>
              <w:jc w:val="left"/>
            </w:pPr>
            <w:r>
              <w:rPr>
                <w:sz w:val="20"/>
              </w:rPr>
              <w:t xml:space="preserve">Безпека</w:t>
            </w:r>
          </w:p>
        </w:tc>
        <w:tc>
          <w:tcPr/>
          <w:p>
            <w:pPr>
              <w:pStyle w:val="Compact"/>
              <w:jc w:val="left"/>
            </w:pPr>
            <w:r>
              <w:rPr>
                <w:sz w:val="20"/>
              </w:rPr>
              <w:t xml:space="preserve">Паролі зберігаються як хеші Argon2id; токени JWT підписуються RS256, TTL access-токена 15 хв, refresh-токена 7 діб з ротацією</w:t>
            </w:r>
          </w:p>
        </w:tc>
        <w:tc>
          <w:tcPr/>
          <w:p>
            <w:pPr>
              <w:pStyle w:val="Compact"/>
              <w:jc w:val="left"/>
            </w:pPr>
            <w:r>
              <w:rPr>
                <w:sz w:val="20"/>
              </w:rPr>
              <w:t xml:space="preserve">Огляд конфігурації, pytest</w:t>
            </w:r>
          </w:p>
        </w:tc>
      </w:tr>
      <w:tr>
        <w:tc>
          <w:tcPr/>
          <w:p>
            <w:pPr>
              <w:pStyle w:val="Compact"/>
              <w:jc w:val="left"/>
            </w:pPr>
            <w:r>
              <w:rPr>
                <w:sz w:val="20"/>
              </w:rPr>
              <w:t xml:space="preserve">NFR-SEC2</w:t>
            </w:r>
          </w:p>
        </w:tc>
        <w:tc>
          <w:tcPr/>
          <w:p>
            <w:pPr>
              <w:pStyle w:val="Compact"/>
              <w:jc w:val="left"/>
            </w:pPr>
            <w:r>
              <w:rPr>
                <w:sz w:val="20"/>
              </w:rPr>
              <w:t xml:space="preserve">Безпека</w:t>
            </w:r>
          </w:p>
        </w:tc>
        <w:tc>
          <w:tcPr/>
          <w:p>
            <w:pPr>
              <w:pStyle w:val="Compact"/>
              <w:jc w:val="left"/>
            </w:pPr>
            <w:r>
              <w:rPr>
                <w:sz w:val="20"/>
              </w:rPr>
              <w:t xml:space="preserve">Перевірка прав доступу на 100 % захищених ендпоінтів (OWASP A01), підтверджена негативними тестами авторизації</w:t>
            </w:r>
          </w:p>
        </w:tc>
        <w:tc>
          <w:tcPr/>
          <w:p>
            <w:pPr>
              <w:pStyle w:val="Compact"/>
              <w:jc w:val="left"/>
            </w:pPr>
            <w:r>
              <w:rPr>
                <w:sz w:val="20"/>
              </w:rPr>
              <w:t xml:space="preserve">pytest</w:t>
            </w:r>
          </w:p>
        </w:tc>
      </w:tr>
      <w:tr>
        <w:tc>
          <w:tcPr/>
          <w:p>
            <w:pPr>
              <w:pStyle w:val="Compact"/>
              <w:jc w:val="left"/>
            </w:pPr>
            <w:r>
              <w:rPr>
                <w:sz w:val="20"/>
              </w:rPr>
              <w:t xml:space="preserve">NFR-SEC3</w:t>
            </w:r>
          </w:p>
        </w:tc>
        <w:tc>
          <w:tcPr/>
          <w:p>
            <w:pPr>
              <w:pStyle w:val="Compact"/>
              <w:jc w:val="left"/>
            </w:pPr>
            <w:r>
              <w:rPr>
                <w:sz w:val="20"/>
              </w:rPr>
              <w:t xml:space="preserve">Безпека</w:t>
            </w:r>
          </w:p>
        </w:tc>
        <w:tc>
          <w:tcPr/>
          <w:p>
            <w:pPr>
              <w:pStyle w:val="Compact"/>
              <w:jc w:val="left"/>
            </w:pPr>
            <w:r>
              <w:rPr>
                <w:sz w:val="20"/>
              </w:rPr>
              <w:t xml:space="preserve">Передача даних лише через TLS 1.2+ (Nginx); обмеження частоти запитів 100 запитів/хв на IP для публічних ендпоінтів</w:t>
            </w:r>
          </w:p>
        </w:tc>
        <w:tc>
          <w:tcPr/>
          <w:p>
            <w:pPr>
              <w:pStyle w:val="Compact"/>
              <w:jc w:val="left"/>
            </w:pPr>
            <w:r>
              <w:rPr>
                <w:sz w:val="20"/>
              </w:rPr>
              <w:t xml:space="preserve">Тест конфігурації</w:t>
            </w:r>
          </w:p>
        </w:tc>
      </w:tr>
      <w:tr>
        <w:tc>
          <w:tcPr/>
          <w:p>
            <w:pPr>
              <w:pStyle w:val="Compact"/>
              <w:jc w:val="left"/>
            </w:pPr>
            <w:r>
              <w:rPr>
                <w:sz w:val="20"/>
              </w:rPr>
              <w:t xml:space="preserve">NFR-SEC4</w:t>
            </w:r>
          </w:p>
        </w:tc>
        <w:tc>
          <w:tcPr/>
          <w:p>
            <w:pPr>
              <w:pStyle w:val="Compact"/>
              <w:jc w:val="left"/>
            </w:pPr>
            <w:r>
              <w:rPr>
                <w:sz w:val="20"/>
              </w:rPr>
              <w:t xml:space="preserve">Безпека</w:t>
            </w:r>
          </w:p>
        </w:tc>
        <w:tc>
          <w:tcPr/>
          <w:p>
            <w:pPr>
              <w:pStyle w:val="Compact"/>
              <w:jc w:val="left"/>
            </w:pPr>
            <w:r>
              <w:rPr>
                <w:sz w:val="20"/>
              </w:rPr>
              <w:t xml:space="preserve">Образи Docker без вразливостей рівня CRITICAL за результатами Trivy (умова проходження CI)</w:t>
            </w:r>
          </w:p>
        </w:tc>
        <w:tc>
          <w:tcPr/>
          <w:p>
            <w:pPr>
              <w:pStyle w:val="Compact"/>
              <w:jc w:val="left"/>
            </w:pPr>
            <w:r>
              <w:rPr>
                <w:sz w:val="20"/>
              </w:rPr>
              <w:t xml:space="preserve">Trivy у GitHub Actions</w:t>
            </w:r>
          </w:p>
        </w:tc>
      </w:tr>
      <w:tr>
        <w:tc>
          <w:tcPr/>
          <w:p>
            <w:pPr>
              <w:pStyle w:val="Compact"/>
              <w:jc w:val="left"/>
            </w:pPr>
            <w:r>
              <w:rPr>
                <w:sz w:val="20"/>
              </w:rPr>
              <w:t xml:space="preserve">NFR-SEC5</w:t>
            </w:r>
          </w:p>
        </w:tc>
        <w:tc>
          <w:tcPr/>
          <w:p>
            <w:pPr>
              <w:pStyle w:val="Compact"/>
              <w:jc w:val="left"/>
            </w:pPr>
            <w:r>
              <w:rPr>
                <w:sz w:val="20"/>
              </w:rPr>
              <w:t xml:space="preserve">Комплаєнс</w:t>
            </w:r>
          </w:p>
        </w:tc>
        <w:tc>
          <w:tcPr/>
          <w:p>
            <w:pPr>
              <w:pStyle w:val="Compact"/>
              <w:jc w:val="left"/>
            </w:pPr>
            <w:r>
              <w:rPr>
                <w:sz w:val="20"/>
              </w:rPr>
              <w:t xml:space="preserve">Видалення EXIF із завантажених фото; строк зберігання фото ≤ 180 діб; анонімізація персональних даних при видаленні акаунта ≤ 30 діб (принципи GDPR ст. 5, 17)</w:t>
            </w:r>
          </w:p>
        </w:tc>
        <w:tc>
          <w:tcPr/>
          <w:p>
            <w:pPr>
              <w:pStyle w:val="Compact"/>
              <w:jc w:val="left"/>
            </w:pPr>
            <w:r>
              <w:rPr>
                <w:sz w:val="20"/>
              </w:rPr>
              <w:t xml:space="preserve">pytest, огляд задач очищення</w:t>
            </w:r>
          </w:p>
        </w:tc>
      </w:tr>
      <w:tr>
        <w:tc>
          <w:tcPr/>
          <w:p>
            <w:pPr>
              <w:pStyle w:val="Compact"/>
              <w:jc w:val="left"/>
            </w:pPr>
            <w:r>
              <w:rPr>
                <w:sz w:val="20"/>
              </w:rPr>
              <w:t xml:space="preserve">NFR-R1</w:t>
            </w:r>
          </w:p>
        </w:tc>
        <w:tc>
          <w:tcPr/>
          <w:p>
            <w:pPr>
              <w:pStyle w:val="Compact"/>
              <w:jc w:val="left"/>
            </w:pPr>
            <w:r>
              <w:rPr>
                <w:sz w:val="20"/>
              </w:rPr>
              <w:t xml:space="preserve">Надійність</w:t>
            </w:r>
          </w:p>
        </w:tc>
        <w:tc>
          <w:tcPr/>
          <w:p>
            <w:pPr>
              <w:pStyle w:val="Compact"/>
              <w:jc w:val="left"/>
            </w:pPr>
            <w:r>
              <w:rPr>
                <w:sz w:val="20"/>
              </w:rPr>
              <w:t xml:space="preserve">RPO ≤ 15 хв (архівування WAL), RTO ≤ 60 хв; щоденне повне резервне копіювання, зберігання 7 копій</w:t>
            </w:r>
          </w:p>
        </w:tc>
        <w:tc>
          <w:tcPr/>
          <w:p>
            <w:pPr>
              <w:pStyle w:val="Compact"/>
              <w:jc w:val="left"/>
            </w:pPr>
            <w:r>
              <w:rPr>
                <w:sz w:val="20"/>
              </w:rPr>
              <w:t xml:space="preserve">Тест відновлення</w:t>
            </w:r>
          </w:p>
        </w:tc>
      </w:tr>
      <w:tr>
        <w:tc>
          <w:tcPr/>
          <w:p>
            <w:pPr>
              <w:pStyle w:val="Compact"/>
              <w:jc w:val="left"/>
            </w:pPr>
            <w:r>
              <w:rPr>
                <w:sz w:val="20"/>
              </w:rPr>
              <w:t xml:space="preserve">NFR-R2</w:t>
            </w:r>
          </w:p>
        </w:tc>
        <w:tc>
          <w:tcPr/>
          <w:p>
            <w:pPr>
              <w:pStyle w:val="Compact"/>
              <w:jc w:val="left"/>
            </w:pPr>
            <w:r>
              <w:rPr>
                <w:sz w:val="20"/>
              </w:rPr>
              <w:t xml:space="preserve">Надійність</w:t>
            </w:r>
          </w:p>
        </w:tc>
        <w:tc>
          <w:tcPr/>
          <w:p>
            <w:pPr>
              <w:pStyle w:val="Compact"/>
              <w:jc w:val="left"/>
            </w:pPr>
            <w:r>
              <w:rPr>
                <w:sz w:val="20"/>
              </w:rPr>
              <w:t xml:space="preserve">Запуск усієї системи однією командою</w:t>
            </w:r>
            <w:r>
              <w:rPr>
                <w:sz w:val="20"/>
              </w:rPr>
              <w:t xml:space="preserve"> </w:t>
            </w:r>
            <w:r>
              <w:rPr>
                <w:rStyle w:val="VerbatimChar"/>
                <w:sz w:val="20"/>
              </w:rPr>
              <w:t xml:space="preserve">docker compose up</w:t>
            </w:r>
            <w:r>
              <w:rPr>
                <w:sz w:val="20"/>
              </w:rPr>
              <w:t xml:space="preserve">; автоматичний перезапуск контейнерів, перевірки стану (healthcheck)</w:t>
            </w:r>
          </w:p>
        </w:tc>
        <w:tc>
          <w:tcPr/>
          <w:p>
            <w:pPr>
              <w:pStyle w:val="Compact"/>
              <w:jc w:val="left"/>
            </w:pPr>
            <w:r>
              <w:rPr>
                <w:sz w:val="20"/>
              </w:rPr>
              <w:t xml:space="preserve">Огляд конфігурації</w:t>
            </w:r>
          </w:p>
        </w:tc>
      </w:tr>
      <w:tr>
        <w:tc>
          <w:tcPr/>
          <w:p>
            <w:pPr>
              <w:pStyle w:val="Compact"/>
              <w:jc w:val="left"/>
            </w:pPr>
            <w:r>
              <w:rPr>
                <w:sz w:val="20"/>
              </w:rPr>
              <w:t xml:space="preserve">NFR-R3</w:t>
            </w:r>
          </w:p>
        </w:tc>
        <w:tc>
          <w:tcPr/>
          <w:p>
            <w:pPr>
              <w:pStyle w:val="Compact"/>
              <w:jc w:val="left"/>
            </w:pPr>
            <w:r>
              <w:rPr>
                <w:sz w:val="20"/>
              </w:rPr>
              <w:t xml:space="preserve">Ізоляція відмов</w:t>
            </w:r>
          </w:p>
        </w:tc>
        <w:tc>
          <w:tcPr/>
          <w:p>
            <w:pPr>
              <w:pStyle w:val="Compact"/>
              <w:jc w:val="left"/>
            </w:pPr>
            <w:r>
              <w:rPr>
                <w:sz w:val="20"/>
              </w:rPr>
              <w:t xml:space="preserve">Недоступність Telegram API не збільшує Latency p95 основного API більше ніж на 10 %</w:t>
            </w:r>
          </w:p>
        </w:tc>
        <w:tc>
          <w:tcPr/>
          <w:p>
            <w:pPr>
              <w:pStyle w:val="Compact"/>
              <w:jc w:val="left"/>
            </w:pPr>
            <w:r>
              <w:rPr>
                <w:sz w:val="20"/>
              </w:rPr>
              <w:t xml:space="preserve">Тест із відключенням Telegram</w:t>
            </w:r>
          </w:p>
        </w:tc>
      </w:tr>
      <w:tr>
        <w:tc>
          <w:tcPr/>
          <w:p>
            <w:pPr>
              <w:pStyle w:val="Compact"/>
              <w:jc w:val="left"/>
            </w:pPr>
            <w:r>
              <w:rPr>
                <w:sz w:val="20"/>
              </w:rPr>
              <w:t xml:space="preserve">NFR-Q1</w:t>
            </w:r>
          </w:p>
        </w:tc>
        <w:tc>
          <w:tcPr/>
          <w:p>
            <w:pPr>
              <w:pStyle w:val="Compact"/>
              <w:jc w:val="left"/>
            </w:pPr>
            <w:r>
              <w:rPr>
                <w:sz w:val="20"/>
              </w:rPr>
              <w:t xml:space="preserve">Супроводжуваність</w:t>
            </w:r>
          </w:p>
        </w:tc>
        <w:tc>
          <w:tcPr/>
          <w:p>
            <w:pPr>
              <w:pStyle w:val="Compact"/>
              <w:jc w:val="left"/>
            </w:pPr>
            <w:r>
              <w:rPr>
                <w:sz w:val="20"/>
              </w:rPr>
              <w:t xml:space="preserve">Покриття тестами (pytest-cov): модулі рейтингу та автомата замовлень ≥ 85 %, загальне ≥ 70 %</w:t>
            </w:r>
          </w:p>
        </w:tc>
        <w:tc>
          <w:tcPr/>
          <w:p>
            <w:pPr>
              <w:pStyle w:val="Compact"/>
              <w:jc w:val="left"/>
            </w:pPr>
            <w:r>
              <w:rPr>
                <w:sz w:val="20"/>
              </w:rPr>
              <w:t xml:space="preserve">pytest-cov</w:t>
            </w:r>
          </w:p>
        </w:tc>
      </w:tr>
      <w:tr>
        <w:tc>
          <w:tcPr/>
          <w:p>
            <w:pPr>
              <w:pStyle w:val="Compact"/>
              <w:jc w:val="left"/>
            </w:pPr>
            <w:r>
              <w:rPr>
                <w:sz w:val="20"/>
              </w:rPr>
              <w:t xml:space="preserve">NFR-Q2</w:t>
            </w:r>
          </w:p>
        </w:tc>
        <w:tc>
          <w:tcPr/>
          <w:p>
            <w:pPr>
              <w:pStyle w:val="Compact"/>
              <w:jc w:val="left"/>
            </w:pPr>
            <w:r>
              <w:rPr>
                <w:sz w:val="20"/>
              </w:rPr>
              <w:t xml:space="preserve">Супроводжуваність</w:t>
            </w:r>
          </w:p>
        </w:tc>
        <w:tc>
          <w:tcPr/>
          <w:p>
            <w:pPr>
              <w:pStyle w:val="Compact"/>
              <w:jc w:val="left"/>
            </w:pPr>
            <w:r>
              <w:rPr>
                <w:sz w:val="20"/>
              </w:rPr>
              <w:t xml:space="preserve">SonarQube Quality Gate: 0 Blocker/Critical, дублювання коду &lt; 3 %</w:t>
            </w:r>
          </w:p>
        </w:tc>
        <w:tc>
          <w:tcPr/>
          <w:p>
            <w:pPr>
              <w:pStyle w:val="Compact"/>
              <w:jc w:val="left"/>
            </w:pPr>
            <w:r>
              <w:rPr>
                <w:sz w:val="20"/>
              </w:rPr>
              <w:t xml:space="preserve">SonarQube</w:t>
            </w:r>
          </w:p>
        </w:tc>
      </w:tr>
      <w:tr>
        <w:tc>
          <w:tcPr/>
          <w:p>
            <w:pPr>
              <w:pStyle w:val="Compact"/>
              <w:jc w:val="left"/>
            </w:pPr>
            <w:r>
              <w:rPr>
                <w:sz w:val="20"/>
              </w:rPr>
              <w:t xml:space="preserve">NFR-Q3</w:t>
            </w:r>
          </w:p>
        </w:tc>
        <w:tc>
          <w:tcPr/>
          <w:p>
            <w:pPr>
              <w:pStyle w:val="Compact"/>
              <w:jc w:val="left"/>
            </w:pPr>
            <w:r>
              <w:rPr>
                <w:sz w:val="20"/>
              </w:rPr>
              <w:t xml:space="preserve">Супроводжуваність</w:t>
            </w:r>
          </w:p>
        </w:tc>
        <w:tc>
          <w:tcPr/>
          <w:p>
            <w:pPr>
              <w:pStyle w:val="Compact"/>
              <w:jc w:val="left"/>
            </w:pPr>
            <w:r>
              <w:rPr>
                <w:sz w:val="20"/>
              </w:rPr>
              <w:t xml:space="preserve">100 % ендпоінтів REST API описано специфікацією OpenAPI 3.x</w:t>
            </w:r>
          </w:p>
        </w:tc>
        <w:tc>
          <w:tcPr/>
          <w:p>
            <w:pPr>
              <w:pStyle w:val="Compact"/>
              <w:jc w:val="left"/>
            </w:pPr>
            <w:r>
              <w:rPr>
                <w:sz w:val="20"/>
              </w:rPr>
              <w:t xml:space="preserve">Flask-Smorest, валідація схеми</w:t>
            </w:r>
          </w:p>
        </w:tc>
      </w:tr>
      <w:tr>
        <w:tc>
          <w:tcPr/>
          <w:p>
            <w:pPr>
              <w:pStyle w:val="Compact"/>
              <w:jc w:val="left"/>
            </w:pPr>
            <w:r>
              <w:rPr>
                <w:sz w:val="20"/>
              </w:rPr>
              <w:t xml:space="preserve">NFR-O1</w:t>
            </w:r>
          </w:p>
        </w:tc>
        <w:tc>
          <w:tcPr/>
          <w:p>
            <w:pPr>
              <w:pStyle w:val="Compact"/>
              <w:jc w:val="left"/>
            </w:pPr>
            <w:r>
              <w:rPr>
                <w:sz w:val="20"/>
              </w:rPr>
              <w:t xml:space="preserve">Спостережуваність</w:t>
            </w:r>
          </w:p>
        </w:tc>
        <w:tc>
          <w:tcPr/>
          <w:p>
            <w:pPr>
              <w:pStyle w:val="Compact"/>
              <w:jc w:val="left"/>
            </w:pPr>
            <w:r>
              <w:rPr>
                <w:sz w:val="20"/>
              </w:rPr>
              <w:t xml:space="preserve">Метрики Prometheus (histogram Latency, довжина черг, Outbox lag), дашборд Grafana; сповіщення при Outbox lag &gt; 60 с</w:t>
            </w:r>
          </w:p>
        </w:tc>
        <w:tc>
          <w:tcPr/>
          <w:p>
            <w:pPr>
              <w:pStyle w:val="Compact"/>
              <w:jc w:val="left"/>
            </w:pPr>
            <w:r>
              <w:rPr>
                <w:sz w:val="20"/>
              </w:rPr>
              <w:t xml:space="preserve">Prometheus, Grafana</w:t>
            </w:r>
          </w:p>
        </w:tc>
      </w:tr>
      <w:tr>
        <w:tc>
          <w:tcPr/>
          <w:p>
            <w:pPr>
              <w:pStyle w:val="Compact"/>
              <w:jc w:val="left"/>
            </w:pPr>
            <w:r>
              <w:rPr>
                <w:sz w:val="20"/>
              </w:rPr>
              <w:t xml:space="preserve">NFR-M1</w:t>
            </w:r>
          </w:p>
        </w:tc>
        <w:tc>
          <w:tcPr/>
          <w:p>
            <w:pPr>
              <w:pStyle w:val="Compact"/>
              <w:jc w:val="left"/>
            </w:pPr>
            <w:r>
              <w:rPr>
                <w:sz w:val="20"/>
              </w:rPr>
              <w:t xml:space="preserve">Якість алгоритмів</w:t>
            </w:r>
          </w:p>
        </w:tc>
        <w:tc>
          <w:tcPr/>
          <w:p>
            <w:pPr>
              <w:pStyle w:val="Compact"/>
              <w:jc w:val="left"/>
            </w:pPr>
            <w:r>
              <w:rPr>
                <w:sz w:val="20"/>
              </w:rPr>
              <w:t xml:space="preserve">Виявлення накруток на синтетичному датасеті: precision ≥ 0.80, recall ≥ 0.70, у тому числі на накрутках з параметрами, не використаними при навчанні</w:t>
            </w:r>
          </w:p>
        </w:tc>
        <w:tc>
          <w:tcPr/>
          <w:p>
            <w:pPr>
              <w:pStyle w:val="Compact"/>
              <w:jc w:val="left"/>
            </w:pPr>
            <w:r>
              <w:rPr>
                <w:sz w:val="20"/>
              </w:rPr>
              <w:t xml:space="preserve">scikit-learn, оцінка метрик</w:t>
            </w:r>
          </w:p>
        </w:tc>
      </w:tr>
      <w:tr>
        <w:tc>
          <w:tcPr/>
          <w:p>
            <w:pPr>
              <w:pStyle w:val="Compact"/>
              <w:jc w:val="left"/>
            </w:pPr>
            <w:r>
              <w:rPr>
                <w:sz w:val="20"/>
              </w:rPr>
              <w:t xml:space="preserve">NFR-M2</w:t>
            </w:r>
          </w:p>
        </w:tc>
        <w:tc>
          <w:tcPr/>
          <w:p>
            <w:pPr>
              <w:pStyle w:val="Compact"/>
              <w:jc w:val="left"/>
            </w:pPr>
            <w:r>
              <w:rPr>
                <w:sz w:val="20"/>
              </w:rPr>
              <w:t xml:space="preserve">Якість алгоритмів</w:t>
            </w:r>
          </w:p>
        </w:tc>
        <w:tc>
          <w:tcPr/>
          <w:p>
            <w:pPr>
              <w:pStyle w:val="Compact"/>
              <w:jc w:val="left"/>
            </w:pPr>
            <w:r>
              <w:rPr>
                <w:sz w:val="20"/>
              </w:rPr>
              <w:t xml:space="preserve">Класифікація типу несправності за фото на тестовому наборі з 30-50 зображень: top-1 accuracy ≥ 0.60, top-3 accuracy ≥ 0.80</w:t>
            </w:r>
          </w:p>
        </w:tc>
        <w:tc>
          <w:tcPr/>
          <w:p>
            <w:pPr>
              <w:pStyle w:val="Compact"/>
              <w:jc w:val="left"/>
            </w:pPr>
            <w:r>
              <w:rPr>
                <w:sz w:val="20"/>
              </w:rPr>
              <w:t xml:space="preserve">Експеримент з еталонною розміткою</w:t>
            </w:r>
          </w:p>
        </w:tc>
      </w:tr>
    </w:tbl>
    <w:bookmarkEnd w:id="42"/>
    <w:bookmarkStart w:id="43" w:name="постановка-задачі"/>
    <w:p>
      <w:pPr>
        <w:pStyle w:val="Heading3"/>
      </w:pPr>
      <w:r>
        <w:t xml:space="preserve">1.5.4. Постановка задачі</w:t>
      </w:r>
    </w:p>
    <w:p>
      <w:pPr>
        <w:pStyle w:val="FirstParagraph"/>
      </w:pPr>
      <w:r>
        <w:t xml:space="preserve">Таким чином, метою кваліфікаційної роботи є проєктування та розробка веб-платформи на основі модульного моноліту з асинхронним шаром обробки подій (Flask, PostgreSQL, Celery, Redis) для вирішення задачі підвищення достовірності вибору виконавця локальних послуг шляхом обчислення районного рейтингу довіри, стійкого до накрутки відгуків, із гарантованою доставкою подій за патерном Transactional Outbox, виявленням накруток за графом взаємодій і класифікатором та попередньою діагностикою запиту за фотографією. Результати роботи підлягають перевірці за кількісними критеріями NFR-P1-NFR-M2.</w:t>
      </w:r>
    </w:p>
    <w:bookmarkEnd w:id="43"/>
    <w:bookmarkEnd w:id="44"/>
    <w:bookmarkStart w:id="45" w:name="висновки-до-розділу-1"/>
    <w:p>
      <w:pPr>
        <w:pStyle w:val="Heading2"/>
      </w:pPr>
      <w:r>
        <w:t xml:space="preserve">Висновки до розділу 1</w:t>
      </w:r>
    </w:p>
    <w:p>
      <w:pPr>
        <w:pStyle w:val="FirstParagraph"/>
      </w:pPr>
      <w:r>
        <w:t xml:space="preserve">Аналіз предметної області й наявних рішень показав, що ринок локальних побутових послуг залишається значною мірою неформалізованим, а рейтинги на відомих платформах вразливі до малих вибірок і координованих оцінок. Дослідження архітектур Kabanchik.ua, Thumbtack і TaskRabbit встановило, що їхні недоліки зумовлені не монолітною чи мікросервісною структурою як такою, а способом організації даних, подій та обчислень: проблемою подвійного запису (dual write), розподілом даних між сховищами з eventual consistency, виконанням важких обчислень у синхронному циклі запиту та залежністю від керованих хмарних сервісів. Для моделі As-Is виявлено дев’ять груп вузьких місць (таблиця 1.5), зокрема відсутність прив’язки відгуку до підтвердженого замовлення та неспроможність середнього арифметичного протидіяти малим вибіркам і координованим оцінкам.</w:t>
      </w:r>
    </w:p>
    <w:p>
      <w:pPr>
        <w:pStyle w:val="BodyText"/>
      </w:pPr>
      <w:r>
        <w:t xml:space="preserve">Обраний шлях розв’язання ґрунтується на модульному моноліті на Python/Flask з єдиним джерелом істини в PostgreSQL. Скінченний автомат замовлення з обмеженнями цілісності забезпечує допуск відгуку лише за підтвердженим замовленням. Патерн Transactional Outbox усуває проблему подвійного запису, а виконання перерахунку рейтингу й аналізу зображень у воркерах Celery виключає залежність Latency API від тривалості обчислень. Зважене байєсівське згладжування з урахуванням району та давності, доповнене графовим аналізом і ML-класифікатором, відповідає виявленим вузьким місцям Б3.1-Б3.5. Локальне виконання відкритих моделей усуває залежність від керованих хмарних API. Прийнятними обмеженнями визнано переважно вертикальне масштабування та використання Redis як недовговічного брокера, який компенсується таблицею outbox.</w:t>
      </w:r>
    </w:p>
    <w:p>
      <w:pPr>
        <w:pStyle w:val="BodyText"/>
      </w:pPr>
      <w:r>
        <w:t xml:space="preserve">Сформовано вісім Core Features і матрицю з 23 вимірюваних нефункціональних вимог (таблиця 1.6), що охоплюють продуктивність, асинхронність, масштабованість, безпеку, надійність, супроводжуваність, спостережуваність і якість алгоритмів. Аналітичне вирішення цих питань і безпосередня технічна реалізація вимог стануть предметом поглибленого розгляду в Розділі 2 (проєктування: доменна модель, схема даних PostgreSQL, автомат замовлення, архітектурні вимоги АВ-1-АВ-7) та Розділі 3 (реалізація та експериментальна перевірка кількісних критеріїв).</w:t>
      </w:r>
    </w:p>
    <w:bookmarkEnd w:id="45"/>
    <w:bookmarkStart w:id="46" w:name="список-джерел-до-розділу-1"/>
    <w:p>
      <w:pPr>
        <w:pStyle w:val="Heading2"/>
      </w:pPr>
      <w:r>
        <w:t xml:space="preserve">Список джерел до розділу 1</w:t>
      </w:r>
    </w:p>
    <w:p>
      <w:pPr>
        <w:numPr>
          <w:ilvl w:val="0"/>
          <w:numId w:val="1017"/>
        </w:numPr>
        <w:pStyle w:val="Compact"/>
      </w:pPr>
      <w:r>
        <w:t xml:space="preserve">Miller E. How Not To Sort By Average Rating [Electronic resource]. 2009. Режим доступу: evanmiller.org.</w:t>
      </w:r>
    </w:p>
    <w:p>
      <w:pPr>
        <w:numPr>
          <w:ilvl w:val="0"/>
          <w:numId w:val="1017"/>
        </w:numPr>
        <w:pStyle w:val="Compact"/>
      </w:pPr>
      <w:r>
        <w:t xml:space="preserve">Ott M., Choi Y., Cardie C., Hancock J. T. Finding Deceptive Opinion Spam by Any Stretch of the Imagination // Proc. of ACL. 2011.</w:t>
      </w:r>
    </w:p>
    <w:p>
      <w:pPr>
        <w:numPr>
          <w:ilvl w:val="0"/>
          <w:numId w:val="1017"/>
        </w:numPr>
        <w:pStyle w:val="Compact"/>
      </w:pPr>
      <w:r>
        <w:t xml:space="preserve">Yu H., Kaminsky M., Gibbons P. B., Flaxman A. SybilGuard: Defending Against Sybil Attacks via Social Networks // Proc. of ACM SIGCOMM. 2006.</w:t>
      </w:r>
    </w:p>
    <w:p>
      <w:pPr>
        <w:numPr>
          <w:ilvl w:val="0"/>
          <w:numId w:val="1017"/>
        </w:numPr>
        <w:pStyle w:val="Compact"/>
      </w:pPr>
      <w:r>
        <w:t xml:space="preserve">Kamvar S. D., Schlosser M. T., Garcia-Molina H. The EigenTrust Algorithm for Reputation Management in P2P Networks // Proc. of WWW. 2003.</w:t>
      </w:r>
    </w:p>
    <w:p>
      <w:pPr>
        <w:numPr>
          <w:ilvl w:val="0"/>
          <w:numId w:val="1017"/>
        </w:numPr>
        <w:pStyle w:val="Compact"/>
      </w:pPr>
      <w:r>
        <w:t xml:space="preserve">Hooi B. et al. FRAUDAR: Bounding Graph Fraud in the Face of Camouflage // Proc. of ACM KDD. 2016.</w:t>
      </w:r>
    </w:p>
    <w:p>
      <w:pPr>
        <w:numPr>
          <w:ilvl w:val="0"/>
          <w:numId w:val="1017"/>
        </w:numPr>
        <w:pStyle w:val="Compact"/>
      </w:pPr>
      <w:r>
        <w:t xml:space="preserve">Richardson C. Pattern: Transactional outbox [Electronic resource]. microservices.io.</w:t>
      </w:r>
    </w:p>
    <w:p>
      <w:pPr>
        <w:numPr>
          <w:ilvl w:val="0"/>
          <w:numId w:val="1017"/>
        </w:numPr>
        <w:pStyle w:val="Compact"/>
      </w:pPr>
      <w:r>
        <w:t xml:space="preserve">Radford A. et al. Learning Transferable Visual Models From Natural Language Supervision // Proc. of ICML. 2021.</w:t>
      </w:r>
    </w:p>
    <w:p>
      <w:pPr>
        <w:numPr>
          <w:ilvl w:val="0"/>
          <w:numId w:val="1017"/>
        </w:numPr>
        <w:pStyle w:val="Compact"/>
      </w:pPr>
      <w:r>
        <w:t xml:space="preserve">EVO (Kabanchik.ua). Вакансія Python-розробника, 2019 [Електронний ресурс]. Режим доступу: https://jobs.dou.ua/companies/evo/vacancies/86389/.</w:t>
      </w:r>
    </w:p>
    <w:p>
      <w:pPr>
        <w:numPr>
          <w:ilvl w:val="0"/>
          <w:numId w:val="1017"/>
        </w:numPr>
        <w:pStyle w:val="Compact"/>
      </w:pPr>
      <w:r>
        <w:t xml:space="preserve">Thumbtack. Scalability talk, QCon SF 2017 [Electronic resource]. Режим доступу: https://www.infoq.com/presentations/thumbtack-scalability.</w:t>
      </w:r>
    </w:p>
    <w:p>
      <w:pPr>
        <w:numPr>
          <w:ilvl w:val="0"/>
          <w:numId w:val="1017"/>
        </w:numPr>
        <w:pStyle w:val="Compact"/>
      </w:pPr>
      <w:r>
        <w:t xml:space="preserve">TaskRabbit. resque-bus [Electronic resource]. Режим доступу: https://github.com/taskrabbit/resque-bus.</w:t>
      </w:r>
    </w:p>
    <w:p>
      <w:pPr>
        <w:numPr>
          <w:ilvl w:val="0"/>
          <w:numId w:val="1017"/>
        </w:numPr>
        <w:pStyle w:val="Compact"/>
      </w:pPr>
      <w:r>
        <w:t xml:space="preserve">BleepingComputer. TaskRabbit takes down app and website after getting hacked, 2018 [Electronic resource]. Режим доступу: https://www.bleepingcomputer.com/news/security/taskrabbit-takes-down-app-and-website-after-getting-hacked/.</w:t>
      </w:r>
    </w:p>
    <w:p>
      <w:pPr>
        <w:numPr>
          <w:ilvl w:val="0"/>
          <w:numId w:val="1017"/>
        </w:numPr>
        <w:pStyle w:val="Compact"/>
      </w:pPr>
      <w:r>
        <w:t xml:space="preserve">Закон України «Про захист персональних даних» від 01.06.2010 № 2297-VI.</w:t>
      </w:r>
    </w:p>
    <w:p>
      <w:pPr>
        <w:numPr>
          <w:ilvl w:val="0"/>
          <w:numId w:val="1017"/>
        </w:numPr>
        <w:pStyle w:val="Compact"/>
      </w:pPr>
      <w:r>
        <w:t xml:space="preserve">Regulation (EU) 2016/679 (General Data Protection Regulation).</w:t>
      </w:r>
    </w:p>
    <w:p>
      <w:pPr>
        <w:numPr>
          <w:ilvl w:val="0"/>
          <w:numId w:val="1017"/>
        </w:numPr>
        <w:pStyle w:val="Compact"/>
      </w:pPr>
      <w:r>
        <w:t xml:space="preserve">OWASP Top 10:2021 [Electronic resource]. Режим доступу: https://owasp.org/Top10/.</w:t>
      </w:r>
    </w:p>
    <w:p>
      <w:pPr>
        <w:numPr>
          <w:ilvl w:val="0"/>
          <w:numId w:val="1017"/>
        </w:numPr>
        <w:pStyle w:val="Compact"/>
      </w:pPr>
      <w:r>
        <w:t xml:space="preserve">RFC 7519. JSON Web Token (JWT). IETF, 2015.</w:t>
      </w:r>
    </w:p>
    <w:p>
      <w:pPr>
        <w:numPr>
          <w:ilvl w:val="0"/>
          <w:numId w:val="1017"/>
        </w:numPr>
        <w:pStyle w:val="Compact"/>
      </w:pPr>
      <w:r>
        <w:t xml:space="preserve">Telegram Bot API [Electronic resource]. Режим доступу: https://core.telegram.org/bots/api.</w:t>
      </w:r>
    </w:p>
    <w:p>
      <w:pPr>
        <w:numPr>
          <w:ilvl w:val="0"/>
          <w:numId w:val="1017"/>
        </w:numPr>
        <w:pStyle w:val="Compact"/>
      </w:pPr>
      <w:r>
        <w:t xml:space="preserve">ISO/IEC 25010:2011. Systems and software engineering — SQuaRE — System and software quality models.</w:t>
      </w:r>
    </w:p>
    <w:bookmarkEnd w:id="46"/>
    <w:bookmarkEnd w:id="47"/>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8"/>
    </w:rPr>
  </w:style>
  <w:style w:styleId="BodyText" w:type="paragraph">
    <w:name w:val="Body Text"/>
    <w:basedOn w:val="Normal"/>
    <w:link w:val="BodyTextChar"/>
    <w:pPr>
      <w:spacing w:after="180" w:before="180"/>
    </w:pPr>
    <w:qFormat/>
    <w:rPr>
      <w:rFonts w:ascii="Times New Roman" w:hAnsi="Times New Roman" w:cs="Times New Roman" w:eastAsia="Times New Roman"/>
      <w:sz w:val="28"/>
    </w:rPr>
  </w:style>
  <w:style w:customStyle="1" w:styleId="FirstParagraph" w:type="paragraph">
    <w:name w:val="First Paragraph"/>
    <w:basedOn w:val="BodyText"/>
    <w:next w:val="BodyText"/>
    <w:qFormat/>
    <w:rPr>
      <w:rFonts w:ascii="Times New Roman" w:hAnsi="Times New Roman" w:cs="Times New Roman" w:eastAsia="Times New Roman"/>
      <w:sz w:val="28"/>
    </w:rPr>
  </w:style>
  <w:style w:customStyle="1" w:styleId="Compact" w:type="paragraph">
    <w:name w:val="Compact"/>
    <w:basedOn w:val="BodyText"/>
    <w:qFormat/>
    <w:pPr>
      <w:spacing w:after="36" w:before="36"/>
    </w:pPr>
    <w:rPr>
      <w:rFonts w:ascii="Times New Roman" w:hAnsi="Times New Roman" w:cs="Times New Roman" w:eastAsia="Times New Roman"/>
      <w:sz w:val="2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cs="Times New Roman" w:eastAsia="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rPr>
      <w:rFonts w:ascii="Times New Roman" w:hAnsi="Times New Roman" w:cs="Times New Roman" w:eastAsia="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rPr>
  </w:style>
  <w:style w:customStyle="1" w:styleId="ImageCaption" w:type="paragraph">
    <w:name w:val="Image Caption"/>
    <w:basedOn w:val="Caption"/>
    <w:rPr>
      <w:rFonts w:ascii="Times New Roman" w:hAnsi="Times New Roman" w:cs="Times New Roman" w:eastAsia="Times New Roman"/>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color w:val="902000"/>
    </w:rPr>
  </w:style>
  <w:style w:type="character" w:customStyle="1" w:styleId="DecValTok">
    <w:name w:val="DecValTok"/>
    <w:basedOn w:val="VerbatimChar"/>
    <w:rPr>
      <w:rFonts w:ascii="Times New Roman" w:hAnsi="Times New Roman" w:cs="Times New Roman" w:eastAsia="Times New Roman"/>
      <w:color w:val="40a070"/>
    </w:rPr>
  </w:style>
  <w:style w:type="character" w:customStyle="1" w:styleId="BaseNTok">
    <w:name w:val="BaseNTok"/>
    <w:basedOn w:val="VerbatimChar"/>
    <w:rPr>
      <w:rFonts w:ascii="Times New Roman" w:hAnsi="Times New Roman" w:cs="Times New Roman" w:eastAsia="Times New Roman"/>
      <w:color w:val="40a070"/>
    </w:rPr>
  </w:style>
  <w:style w:type="character" w:customStyle="1" w:styleId="FloatTok">
    <w:name w:val="FloatTok"/>
    <w:basedOn w:val="VerbatimChar"/>
    <w:rPr>
      <w:rFonts w:ascii="Times New Roman" w:hAnsi="Times New Roman" w:cs="Times New Roman" w:eastAsia="Times New Roman"/>
      <w:color w:val="40a070"/>
    </w:rPr>
  </w:style>
  <w:style w:type="character" w:customStyle="1" w:styleId="ConstantTok">
    <w:name w:val="ConstantTok"/>
    <w:basedOn w:val="VerbatimChar"/>
    <w:rPr>
      <w:rFonts w:ascii="Times New Roman" w:hAnsi="Times New Roman" w:cs="Times New Roman" w:eastAsia="Times New Roman"/>
      <w:color w:val="880000"/>
    </w:rPr>
  </w:style>
  <w:style w:type="character" w:customStyle="1" w:styleId="CharTok">
    <w:name w:val="CharTok"/>
    <w:basedOn w:val="VerbatimChar"/>
    <w:rPr>
      <w:rFonts w:ascii="Times New Roman" w:hAnsi="Times New Roman" w:cs="Times New Roman" w:eastAsia="Times New Roman"/>
      <w:color w:val="4070a0"/>
    </w:rPr>
  </w:style>
  <w:style w:type="character" w:customStyle="1" w:styleId="SpecialCharTok">
    <w:name w:val="SpecialCharTok"/>
    <w:basedOn w:val="VerbatimChar"/>
    <w:rPr>
      <w:rFonts w:ascii="Times New Roman" w:hAnsi="Times New Roman" w:cs="Times New Roman" w:eastAsia="Times New Roman"/>
      <w:color w:val="4070a0"/>
    </w:rPr>
  </w:style>
  <w:style w:type="character" w:customStyle="1" w:styleId="StringTok">
    <w:name w:val="StringTok"/>
    <w:basedOn w:val="VerbatimChar"/>
    <w:rPr>
      <w:rFonts w:ascii="Times New Roman" w:hAnsi="Times New Roman" w:cs="Times New Roman" w:eastAsia="Times New Roman"/>
      <w:color w:val="4070a0"/>
    </w:rPr>
  </w:style>
  <w:style w:type="character" w:customStyle="1" w:styleId="VerbatimStringTok">
    <w:name w:val="VerbatimStringTok"/>
    <w:basedOn w:val="VerbatimChar"/>
    <w:rPr>
      <w:rFonts w:ascii="Times New Roman" w:hAnsi="Times New Roman" w:cs="Times New Roman" w:eastAsia="Times New Roman"/>
      <w:color w:val="4070a0"/>
    </w:rPr>
  </w:style>
  <w:style w:type="character" w:customStyle="1" w:styleId="SpecialStringTok">
    <w:name w:val="SpecialStringTok"/>
    <w:basedOn w:val="VerbatimChar"/>
    <w:rPr>
      <w:rFonts w:ascii="Times New Roman" w:hAnsi="Times New Roman" w:cs="Times New Roman" w:eastAsia="Times New Roman"/>
      <w:color w:val="bb6688"/>
    </w:rPr>
  </w:style>
  <w:style w:type="character" w:customStyle="1" w:styleId="ImportTok">
    <w:name w:val="ImportTok"/>
    <w:basedOn w:val="VerbatimChar"/>
    <w:rPr>
      <w:color w:val="008000"/>
      <w:rFonts w:ascii="Times New Roman" w:hAnsi="Times New Roman" w:cs="Times New Roman" w:eastAsia="Times New Roman"/>
      <w:b/>
    </w:rPr>
  </w:style>
  <w:style w:type="character" w:customStyle="1" w:styleId="CommentTok">
    <w:name w:val="CommentTok"/>
    <w:basedOn w:val="VerbatimChar"/>
    <w:rPr>
      <w:color w:val="60a0b0"/>
      <w:rFonts w:ascii="Times New Roman" w:hAnsi="Times New Roman" w:cs="Times New Roman" w:eastAsia="Times New Roman"/>
      <w:i/>
    </w:rPr>
  </w:style>
  <w:style w:type="character" w:customStyle="1" w:styleId="DocumentationTok">
    <w:name w:val="DocumentationTok"/>
    <w:basedOn w:val="VerbatimChar"/>
    <w:rPr>
      <w:color w:val="ba2121"/>
      <w:rFonts w:ascii="Times New Roman" w:hAnsi="Times New Roman" w:cs="Times New Roman" w:eastAsia="Times New Roman"/>
      <w:i/>
    </w:rPr>
  </w:style>
  <w:style w:type="character" w:customStyle="1" w:styleId="AnnotationTok">
    <w:name w:val="AnnotationTok"/>
    <w:basedOn w:val="VerbatimChar"/>
    <w:rPr>
      <w:color w:val="60a0b0"/>
      <w:rFonts w:ascii="Times New Roman" w:hAnsi="Times New Roman" w:cs="Times New Roman" w:eastAsia="Times New Roman"/>
      <w:b/>
      <w:i/>
    </w:rPr>
  </w:style>
  <w:style w:type="character" w:customStyle="1" w:styleId="CommentVarTok">
    <w:name w:val="CommentVarTok"/>
    <w:basedOn w:val="VerbatimChar"/>
    <w:rPr>
      <w:color w:val="60a0b0"/>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color w:val="007020"/>
    </w:rPr>
  </w:style>
  <w:style w:type="character" w:customStyle="1" w:styleId="FunctionTok">
    <w:name w:val="FunctionTok"/>
    <w:basedOn w:val="VerbatimChar"/>
    <w:rPr>
      <w:rFonts w:ascii="Times New Roman" w:hAnsi="Times New Roman" w:cs="Times New Roman" w:eastAsia="Times New Roman"/>
      <w:color w:val="06287e"/>
    </w:rPr>
  </w:style>
  <w:style w:type="character" w:customStyle="1" w:styleId="VariableTok">
    <w:name w:val="VariableTok"/>
    <w:basedOn w:val="VerbatimChar"/>
    <w:rPr>
      <w:rFonts w:ascii="Times New Roman" w:hAnsi="Times New Roman" w:cs="Times New Roman" w:eastAsia="Times New Roman"/>
      <w:color w:val="19177c"/>
    </w:rPr>
  </w:style>
  <w:style w:type="character" w:customStyle="1" w:styleId="ControlFlowTok">
    <w:name w:val="ControlFlowTok"/>
    <w:basedOn w:val="VerbatimChar"/>
    <w:rPr>
      <w:color w:val="007020"/>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color w:val="666666"/>
    </w:rPr>
  </w:style>
  <w:style w:type="character" w:customStyle="1" w:styleId="BuiltInTok">
    <w:name w:val="BuiltInTok"/>
    <w:basedOn w:val="VerbatimChar"/>
    <w:rPr>
      <w:rFonts w:ascii="Times New Roman" w:hAnsi="Times New Roman" w:cs="Times New Roman" w:eastAsia="Times New Roman"/>
      <w:color w:val="008000"/>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color w:val="bc7a00"/>
    </w:rPr>
  </w:style>
  <w:style w:type="character" w:customStyle="1" w:styleId="AttributeTok">
    <w:name w:val="AttributeTok"/>
    <w:basedOn w:val="VerbatimChar"/>
    <w:rPr>
      <w:rFonts w:ascii="Times New Roman" w:hAnsi="Times New Roman" w:cs="Times New Roman" w:eastAsia="Times New Roman"/>
      <w:color w:val="7d9029"/>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color w:val="60a0b0"/>
      <w:rFonts w:ascii="Times New Roman" w:hAnsi="Times New Roman" w:cs="Times New Roman" w:eastAsia="Times New Roman"/>
      <w:b/>
      <w:i/>
    </w:rPr>
  </w:style>
  <w:style w:type="character" w:customStyle="1" w:styleId="WarningTok">
    <w:name w:val="WarningTok"/>
    <w:basedOn w:val="VerbatimChar"/>
    <w:rPr>
      <w:color w:val="60a0b0"/>
      <w:rFonts w:ascii="Times New Roman" w:hAnsi="Times New Roman" w:cs="Times New Roman" w:eastAsia="Times New Roman"/>
      <w:b/>
      <w:i/>
    </w:rPr>
  </w:style>
  <w:style w:type="character" w:customStyle="1" w:styleId="AlertTok">
    <w:name w:val="AlertTok"/>
    <w:basedOn w:val="VerbatimChar"/>
    <w:rPr>
      <w:color w:val="ff0000"/>
      <w:rFonts w:ascii="Times New Roman" w:hAnsi="Times New Roman" w:cs="Times New Roman" w:eastAsia="Times New Roman"/>
      <w:b/>
    </w:rPr>
  </w:style>
  <w:style w:type="character" w:customStyle="1" w:styleId="ErrorTok">
    <w:name w:val="ErrorTok"/>
    <w:basedOn w:val="VerbatimChar"/>
    <w:rPr>
      <w:color w:val="ff0000"/>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2026-10-27T16:36:13Z</dcterms:created>
  <dcterms:modified xsi:type="dcterms:W3CDTF">2026-10-27T16:36:13Z</dcterms:modified>
</cp:coreProperties>
</file>

<file path=docProps/custom.xml><?xml version="1.0" encoding="utf-8"?>
<Properties xmlns="http://schemas.openxmlformats.org/officeDocument/2006/custom-properties" xmlns:vt="http://schemas.openxmlformats.org/officeDocument/2006/docPropsVTypes"/>
</file>