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Brenna Aleshire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9/4/2024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 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Annabel Sachs about the meaning of the directions, specifically what functions we should use inside of others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9/1/24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5:30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Brenna Aleshire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jhK9rmYHW9ddMJ29HvF3MrAyA==">CgMxLjA4AHIhMXAyV1BkNVhXVXJSZ1pvaHhmMTFuTkhIaFF6MjNtM1c5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