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line="360" w:lineRule="auto" w:after="0"/>
        <w:ind w:firstLine="0"/>
        <w:jc w:val="center"/>
      </w:pPr>
      <w:r>
        <w:rPr>
          <w:rFonts w:ascii="Arial" w:hAnsi="Arial"/>
          <w:b/>
          <w:sz w:val="24"/>
        </w:rPr>
        <w:t>ESCOLA SENAI “A. JACOB LAFER”</w:t>
      </w:r>
    </w:p>
    <w:p>
      <w:pPr>
        <w:spacing w:line="360" w:lineRule="auto" w:after="0"/>
        <w:ind w:firstLine="0"/>
        <w:jc w:val="center"/>
      </w:pPr>
      <w:r>
        <w:rPr>
          <w:rFonts w:ascii="Arial" w:hAnsi="Arial"/>
          <w:b/>
          <w:sz w:val="24"/>
        </w:rPr>
        <w:t>TÉCNICO EM DESENVOLVIMENTO DE SISTEMAS</w:t>
      </w:r>
    </w:p>
    <w:p>
      <w:pPr>
        <w:spacing w:line="360" w:lineRule="auto" w:after="500"/>
        <w:ind w:firstLine="0"/>
        <w:jc w:val="both"/>
      </w:pPr>
      <w:r>
        <w:rPr>
          <w:rFonts w:ascii="Arial" w:hAnsi="Arial"/>
          <w:b w:val="0"/>
          <w:sz w:val="24"/>
        </w:rPr>
      </w:r>
    </w:p>
    <w:p>
      <w:pPr>
        <w:spacing w:line="360" w:lineRule="auto" w:after="0"/>
        <w:ind w:firstLine="0"/>
        <w:jc w:val="center"/>
      </w:pPr>
      <w:r>
        <w:rPr>
          <w:rFonts w:ascii="Arial" w:hAnsi="Arial"/>
          <w:b/>
          <w:sz w:val="24"/>
        </w:rPr>
        <w:t>BRENO OLIVEIRA</w:t>
      </w:r>
    </w:p>
    <w:p>
      <w:pPr>
        <w:spacing w:line="360" w:lineRule="auto" w:after="0"/>
        <w:ind w:firstLine="0"/>
        <w:jc w:val="center"/>
      </w:pPr>
      <w:r>
        <w:rPr>
          <w:rFonts w:ascii="Arial" w:hAnsi="Arial"/>
          <w:b/>
          <w:sz w:val="24"/>
        </w:rPr>
        <w:t>FELIPE BERTACO</w:t>
      </w:r>
    </w:p>
    <w:p>
      <w:pPr>
        <w:spacing w:line="360" w:lineRule="auto" w:after="0"/>
        <w:ind w:firstLine="0"/>
        <w:jc w:val="center"/>
      </w:pPr>
      <w:r>
        <w:rPr>
          <w:rFonts w:ascii="Arial" w:hAnsi="Arial"/>
          <w:b/>
          <w:sz w:val="24"/>
        </w:rPr>
        <w:t>GUSTAVO BARRETO</w:t>
      </w:r>
    </w:p>
    <w:p>
      <w:pPr>
        <w:spacing w:line="360" w:lineRule="auto" w:after="0"/>
        <w:ind w:firstLine="0"/>
        <w:jc w:val="center"/>
      </w:pPr>
      <w:r>
        <w:rPr>
          <w:rFonts w:ascii="Arial" w:hAnsi="Arial"/>
          <w:b/>
          <w:sz w:val="24"/>
        </w:rPr>
        <w:t>MARIANA NASCIMENTO</w:t>
      </w:r>
    </w:p>
    <w:p>
      <w:pPr>
        <w:spacing w:line="360" w:lineRule="auto" w:after="0"/>
        <w:ind w:firstLine="0"/>
        <w:jc w:val="center"/>
      </w:pPr>
      <w:r>
        <w:rPr>
          <w:rFonts w:ascii="Arial" w:hAnsi="Arial"/>
          <w:b/>
          <w:sz w:val="24"/>
        </w:rPr>
        <w:t>VINÍCIUS VILA NOVA</w:t>
      </w:r>
    </w:p>
    <w:p>
      <w:pPr>
        <w:spacing w:line="360" w:lineRule="auto" w:after="1300"/>
        <w:ind w:firstLine="0"/>
        <w:jc w:val="both"/>
      </w:pPr>
      <w:r>
        <w:rPr>
          <w:rFonts w:ascii="Arial" w:hAnsi="Arial"/>
          <w:b w:val="0"/>
          <w:sz w:val="24"/>
        </w:rPr>
      </w:r>
    </w:p>
    <w:p>
      <w:pPr>
        <w:pStyle w:val="Title"/>
        <w:spacing w:line="360" w:lineRule="auto" w:after="0"/>
        <w:ind w:firstLine="0"/>
        <w:jc w:val="center"/>
      </w:pPr>
      <w:r>
        <w:rPr>
          <w:rFonts w:ascii="Arial" w:hAnsi="Arial"/>
          <w:b/>
          <w:sz w:val="24"/>
        </w:rPr>
        <w:t>NEXLY PLANO DE TESTES DE SOFTWARE E MATRIZ GOT</w:t>
      </w:r>
    </w:p>
    <w:p>
      <w:pPr>
        <w:spacing w:line="360" w:lineRule="auto" w:after="6440"/>
        <w:ind w:firstLine="0"/>
        <w:jc w:val="both"/>
      </w:pPr>
      <w:r>
        <w:rPr>
          <w:rFonts w:ascii="Arial" w:hAnsi="Arial"/>
          <w:b w:val="0"/>
          <w:sz w:val="24"/>
        </w:rPr>
      </w:r>
    </w:p>
    <w:p>
      <w:pPr>
        <w:spacing w:line="360" w:lineRule="auto" w:after="0"/>
        <w:ind w:firstLine="0"/>
        <w:jc w:val="center"/>
      </w:pPr>
      <w:r>
        <w:rPr>
          <w:rFonts w:ascii="Arial" w:hAnsi="Arial"/>
          <w:b w:val="0"/>
          <w:sz w:val="24"/>
        </w:rPr>
        <w:t>SANTO ANDRÉ</w:t>
      </w:r>
    </w:p>
    <w:p>
      <w:pPr>
        <w:spacing w:line="360" w:lineRule="auto" w:after="0"/>
        <w:ind w:firstLine="0"/>
        <w:jc w:val="center"/>
      </w:pPr>
      <w:r>
        <w:rPr>
          <w:rFonts w:ascii="Arial" w:hAnsi="Arial"/>
          <w:b w:val="0"/>
          <w:sz w:val="24"/>
        </w:rPr>
        <w:t>2026</w:t>
      </w:r>
    </w:p>
    <w:p>
      <w:pPr>
        <w:sectPr>
          <w:headerReference w:type="default" r:id="rId95"/>
          <w:type w:val="nextPage"/>
          <w:footerReference w:type="default" r:id="rId7"/>
          <w:pgSz w:h="16838" w:w="11906"/>
          <w:pgMar w:bottom="1134" w:top="1701" w:left="1701" w:right="1134" w:header="850" w:footer="567"/>
          <w:pgNumType w:start="0"/>
        </w:sectPr>
      </w:pPr>
    </w:p>
    <w:p>
      <w:pPr>
        <w:spacing w:line="360" w:lineRule="auto" w:after="0"/>
        <w:ind w:firstLine="0"/>
        <w:jc w:val="center"/>
      </w:pPr>
      <w:r>
        <w:rPr>
          <w:rFonts w:ascii="Arial" w:hAnsi="Arial"/>
          <w:b/>
          <w:sz w:val="24"/>
        </w:rPr>
        <w:t>BRENO OLIVEIRA</w:t>
      </w:r>
    </w:p>
    <w:p>
      <w:pPr>
        <w:spacing w:line="360" w:lineRule="auto" w:after="0"/>
        <w:ind w:firstLine="0"/>
        <w:jc w:val="center"/>
      </w:pPr>
      <w:r>
        <w:rPr>
          <w:rFonts w:ascii="Arial" w:hAnsi="Arial"/>
          <w:b/>
          <w:sz w:val="24"/>
        </w:rPr>
        <w:t>FELIPE BERTACO</w:t>
      </w:r>
    </w:p>
    <w:p>
      <w:pPr>
        <w:spacing w:line="360" w:lineRule="auto" w:after="0"/>
        <w:ind w:firstLine="0"/>
        <w:jc w:val="center"/>
      </w:pPr>
      <w:r>
        <w:rPr>
          <w:rFonts w:ascii="Arial" w:hAnsi="Arial"/>
          <w:b/>
          <w:sz w:val="24"/>
        </w:rPr>
        <w:t>GUSTAVO BARRETO</w:t>
      </w:r>
    </w:p>
    <w:p>
      <w:pPr>
        <w:spacing w:line="360" w:lineRule="auto" w:after="0"/>
        <w:ind w:firstLine="0"/>
        <w:jc w:val="center"/>
      </w:pPr>
      <w:r>
        <w:rPr>
          <w:rFonts w:ascii="Arial" w:hAnsi="Arial"/>
          <w:b/>
          <w:sz w:val="24"/>
        </w:rPr>
        <w:t>MARIANA NASCIMENTO</w:t>
      </w:r>
    </w:p>
    <w:p>
      <w:pPr>
        <w:spacing w:line="360" w:lineRule="auto" w:after="0"/>
        <w:ind w:firstLine="0"/>
        <w:jc w:val="center"/>
      </w:pPr>
      <w:r>
        <w:rPr>
          <w:rFonts w:ascii="Arial" w:hAnsi="Arial"/>
          <w:b/>
          <w:sz w:val="24"/>
        </w:rPr>
        <w:t>VINÍCIUS VILA NOVA</w:t>
      </w:r>
    </w:p>
    <w:p>
      <w:pPr>
        <w:spacing w:line="360" w:lineRule="auto" w:after="1000"/>
        <w:ind w:firstLine="0"/>
        <w:jc w:val="both"/>
      </w:pPr>
      <w:r>
        <w:rPr>
          <w:rFonts w:ascii="Arial" w:hAnsi="Arial"/>
          <w:b w:val="0"/>
          <w:sz w:val="24"/>
        </w:rPr>
      </w:r>
    </w:p>
    <w:p>
      <w:pPr>
        <w:pStyle w:val="Title"/>
        <w:spacing w:line="360" w:lineRule="auto" w:after="0"/>
        <w:ind w:firstLine="0"/>
        <w:jc w:val="center"/>
      </w:pPr>
      <w:r>
        <w:rPr>
          <w:rFonts w:ascii="Arial" w:hAnsi="Arial"/>
          <w:b/>
          <w:sz w:val="24"/>
        </w:rPr>
        <w:t>NEXLY PLANO DE TESTES DE SOFTWARE E MATRIZ GOT</w:t>
      </w:r>
    </w:p>
    <w:p>
      <w:pPr>
        <w:spacing w:line="360" w:lineRule="auto" w:after="700"/>
        <w:ind w:firstLine="0"/>
        <w:jc w:val="both"/>
      </w:pPr>
      <w:r>
        <w:rPr>
          <w:rFonts w:ascii="Arial" w:hAnsi="Arial"/>
          <w:b w:val="0"/>
          <w:sz w:val="24"/>
        </w:rPr>
      </w:r>
    </w:p>
    <w:p>
      <w:pPr>
        <w:spacing w:line="240" w:lineRule="auto" w:after="0"/>
        <w:ind w:firstLine="0" w:left="4535"/>
        <w:jc w:val="both"/>
      </w:pPr>
      <w:r>
        <w:rPr>
          <w:rFonts w:ascii="Arial" w:hAnsi="Arial"/>
          <w:b w:val="0"/>
          <w:sz w:val="24"/>
        </w:rPr>
        <w:t>Plano de testes e matriz de rastreabilidade do projeto Nexly, elaborado como documento complementar à documentação técnica da plataforma.</w:t>
      </w:r>
    </w:p>
    <w:p>
      <w:pPr>
        <w:spacing w:line="240" w:lineRule="auto" w:after="0"/>
        <w:ind w:firstLine="0" w:left="4535"/>
        <w:jc w:val="both"/>
      </w:pPr>
      <w:r>
        <w:rPr>
          <w:rFonts w:ascii="Arial" w:hAnsi="Arial"/>
          <w:b w:val="0"/>
          <w:sz w:val="24"/>
        </w:rPr>
        <w:t>Orientadores: Prof. Raul Lopes e Prof. Paulo Camargo.</w:t>
      </w:r>
    </w:p>
    <w:p>
      <w:pPr>
        <w:spacing w:line="360" w:lineRule="auto" w:after="4380"/>
        <w:ind w:firstLine="0"/>
        <w:jc w:val="both"/>
      </w:pPr>
      <w:r>
        <w:rPr>
          <w:rFonts w:ascii="Arial" w:hAnsi="Arial"/>
          <w:b w:val="0"/>
          <w:sz w:val="24"/>
        </w:rPr>
      </w:r>
    </w:p>
    <w:p>
      <w:pPr>
        <w:spacing w:line="360" w:lineRule="auto" w:after="0"/>
        <w:ind w:firstLine="0"/>
        <w:jc w:val="center"/>
      </w:pPr>
      <w:r>
        <w:rPr>
          <w:rFonts w:ascii="Arial" w:hAnsi="Arial"/>
          <w:b/>
          <w:sz w:val="24"/>
        </w:rPr>
        <w:t>SANTO ANDRÉ</w:t>
      </w:r>
    </w:p>
    <w:p>
      <w:pPr>
        <w:spacing w:line="360" w:lineRule="auto" w:after="0"/>
        <w:ind w:firstLine="0"/>
        <w:jc w:val="center"/>
      </w:pPr>
      <w:r>
        <w:rPr>
          <w:rFonts w:ascii="Arial" w:hAnsi="Arial"/>
          <w:b/>
          <w:sz w:val="24"/>
        </w:rPr>
        <w:t>2026</w:t>
      </w:r>
    </w:p>
    <w:p>
      <w:pPr>
        <w:sectPr>
          <w:headerReference w:type="default" r:id="rId96"/>
          <w:type w:val="nextPage"/>
          <w:footerReference w:type="default" r:id="rId9"/>
          <w:pgSz w:h="16838" w:w="11906"/>
          <w:pgMar w:bottom="1134" w:top="1701" w:left="1701" w:right="1134" w:header="850" w:footer="567"/>
        </w:sectPr>
      </w:pPr>
    </w:p>
    <w:p>
      <w:pPr>
        <w:jc w:val="center"/>
        <w:ind w:firstLine="0"/>
      </w:pPr>
      <w:r>
        <w:rPr>
          <w:b/>
        </w:rPr>
        <w:t>SUMÁRIO</w:t>
      </w:r>
    </w:p>
    <w:p>
      <w:pPr/>
      <w:r>
        <w:fldChar w:fldCharType="begin"/>
      </w:r>
      <w:r>
        <w:instrText>TOC \o "1-2" \h \z \u</w:instrText>
      </w:r>
      <w:r>
        <w:fldChar w:fldCharType="separate"/>
      </w:r>
      <w:r>
        <w:t/>
      </w:r>
    </w:p>
    <w:p>
      <w:pPr>
        <w:tabs>
          <w:tab w:pos="9071" w:val="right" w:leader="dot"/>
        </w:tabs>
        <w:spacing w:line="360" w:lineRule="auto"/>
        <w:ind w:firstLine="0" w:left="0"/>
      </w:pPr>
      <w:r>
        <w:t>1 IDENTIFICAÇÃO DO PROJETO</w:t>
        <w:tab/>
      </w:r>
      <w:r>
        <w:fldChar w:fldCharType="begin"/>
      </w:r>
      <w:r>
        <w:instrText>PAGEREF sec1 \h</w:instrText>
      </w:r>
      <w:r>
        <w:fldChar w:fldCharType="separate"/>
      </w:r>
      <w:r>
        <w:t>4</w:t>
      </w:r>
      <w:r>
        <w:fldChar w:fldCharType="end"/>
      </w:r>
    </w:p>
    <w:p>
      <w:pPr>
        <w:tabs>
          <w:tab w:pos="9071" w:val="right" w:leader="dot"/>
        </w:tabs>
        <w:spacing w:line="360" w:lineRule="auto"/>
        <w:ind w:firstLine="0" w:left="283"/>
      </w:pPr>
      <w:r>
        <w:t>1.1 Sistema e referência de versão</w:t>
        <w:tab/>
      </w:r>
      <w:r>
        <w:fldChar w:fldCharType="begin"/>
      </w:r>
      <w:r>
        <w:instrText>PAGEREF sec2 \h</w:instrText>
      </w:r>
      <w:r>
        <w:fldChar w:fldCharType="separate"/>
      </w:r>
      <w:r>
        <w:t>4</w:t>
      </w:r>
      <w:r>
        <w:fldChar w:fldCharType="end"/>
      </w:r>
    </w:p>
    <w:p>
      <w:pPr>
        <w:tabs>
          <w:tab w:pos="9071" w:val="right" w:leader="dot"/>
        </w:tabs>
        <w:spacing w:line="360" w:lineRule="auto"/>
        <w:ind w:firstLine="0" w:left="283"/>
      </w:pPr>
      <w:r>
        <w:t>1.2 Responsabilidades</w:t>
        <w:tab/>
      </w:r>
      <w:r>
        <w:fldChar w:fldCharType="begin"/>
      </w:r>
      <w:r>
        <w:instrText>PAGEREF sec3 \h</w:instrText>
      </w:r>
      <w:r>
        <w:fldChar w:fldCharType="separate"/>
      </w:r>
      <w:r>
        <w:t>4</w:t>
      </w:r>
      <w:r>
        <w:fldChar w:fldCharType="end"/>
      </w:r>
    </w:p>
    <w:p>
      <w:pPr>
        <w:tabs>
          <w:tab w:pos="9071" w:val="right" w:leader="dot"/>
        </w:tabs>
        <w:spacing w:line="360" w:lineRule="auto"/>
        <w:ind w:firstLine="0" w:left="283"/>
      </w:pPr>
      <w:r>
        <w:t>1.3 Ambientes e ferramentas</w:t>
        <w:tab/>
      </w:r>
      <w:r>
        <w:fldChar w:fldCharType="begin"/>
      </w:r>
      <w:r>
        <w:instrText>PAGEREF sec4 \h</w:instrText>
      </w:r>
      <w:r>
        <w:fldChar w:fldCharType="separate"/>
      </w:r>
      <w:r>
        <w:t>4</w:t>
      </w:r>
      <w:r>
        <w:fldChar w:fldCharType="end"/>
      </w:r>
    </w:p>
    <w:p>
      <w:pPr>
        <w:tabs>
          <w:tab w:pos="9071" w:val="right" w:leader="dot"/>
        </w:tabs>
        <w:spacing w:line="360" w:lineRule="auto"/>
        <w:ind w:firstLine="0" w:left="0"/>
      </w:pPr>
      <w:r>
        <w:t>2 ESCOPO E ESTRATÉGIA DE TESTE</w:t>
        <w:tab/>
      </w:r>
      <w:r>
        <w:fldChar w:fldCharType="begin"/>
      </w:r>
      <w:r>
        <w:instrText>PAGEREF sec5 \h</w:instrText>
      </w:r>
      <w:r>
        <w:fldChar w:fldCharType="separate"/>
      </w:r>
      <w:r>
        <w:t>5</w:t>
      </w:r>
      <w:r>
        <w:fldChar w:fldCharType="end"/>
      </w:r>
    </w:p>
    <w:p>
      <w:pPr>
        <w:tabs>
          <w:tab w:pos="9071" w:val="right" w:leader="dot"/>
        </w:tabs>
        <w:spacing w:line="360" w:lineRule="auto"/>
        <w:ind w:firstLine="0" w:left="283"/>
      </w:pPr>
      <w:r>
        <w:t>2.1 Objetivo</w:t>
        <w:tab/>
      </w:r>
      <w:r>
        <w:fldChar w:fldCharType="begin"/>
      </w:r>
      <w:r>
        <w:instrText>PAGEREF sec6 \h</w:instrText>
      </w:r>
      <w:r>
        <w:fldChar w:fldCharType="separate"/>
      </w:r>
      <w:r>
        <w:t>5</w:t>
      </w:r>
      <w:r>
        <w:fldChar w:fldCharType="end"/>
      </w:r>
    </w:p>
    <w:p>
      <w:pPr>
        <w:tabs>
          <w:tab w:pos="9071" w:val="right" w:leader="dot"/>
        </w:tabs>
        <w:spacing w:line="360" w:lineRule="auto"/>
        <w:ind w:firstLine="0" w:left="283"/>
      </w:pPr>
      <w:r>
        <w:t>2.2 Itens incluídos</w:t>
        <w:tab/>
      </w:r>
      <w:r>
        <w:fldChar w:fldCharType="begin"/>
      </w:r>
      <w:r>
        <w:instrText>PAGEREF sec7 \h</w:instrText>
      </w:r>
      <w:r>
        <w:fldChar w:fldCharType="separate"/>
      </w:r>
      <w:r>
        <w:t>5</w:t>
      </w:r>
      <w:r>
        <w:fldChar w:fldCharType="end"/>
      </w:r>
    </w:p>
    <w:p>
      <w:pPr>
        <w:tabs>
          <w:tab w:pos="9071" w:val="right" w:leader="dot"/>
        </w:tabs>
        <w:spacing w:line="360" w:lineRule="auto"/>
        <w:ind w:firstLine="0" w:left="283"/>
      </w:pPr>
      <w:r>
        <w:t>2.3 Itens fora da evidência atual</w:t>
        <w:tab/>
      </w:r>
      <w:r>
        <w:fldChar w:fldCharType="begin"/>
      </w:r>
      <w:r>
        <w:instrText>PAGEREF sec8 \h</w:instrText>
      </w:r>
      <w:r>
        <w:fldChar w:fldCharType="separate"/>
      </w:r>
      <w:r>
        <w:t>5</w:t>
      </w:r>
      <w:r>
        <w:fldChar w:fldCharType="end"/>
      </w:r>
    </w:p>
    <w:p>
      <w:pPr>
        <w:tabs>
          <w:tab w:pos="9071" w:val="right" w:leader="dot"/>
        </w:tabs>
        <w:spacing w:line="360" w:lineRule="auto"/>
        <w:ind w:firstLine="0" w:left="283"/>
      </w:pPr>
      <w:r>
        <w:t>2.4 Níveis e técnicas</w:t>
        <w:tab/>
      </w:r>
      <w:r>
        <w:fldChar w:fldCharType="begin"/>
      </w:r>
      <w:r>
        <w:instrText>PAGEREF sec9 \h</w:instrText>
      </w:r>
      <w:r>
        <w:fldChar w:fldCharType="separate"/>
      </w:r>
      <w:r>
        <w:t>6</w:t>
      </w:r>
      <w:r>
        <w:fldChar w:fldCharType="end"/>
      </w:r>
    </w:p>
    <w:p>
      <w:pPr>
        <w:tabs>
          <w:tab w:pos="9071" w:val="right" w:leader="dot"/>
        </w:tabs>
        <w:spacing w:line="360" w:lineRule="auto"/>
        <w:ind w:firstLine="0" w:left="283"/>
      </w:pPr>
      <w:r>
        <w:t>2.5 Priorização por risco</w:t>
        <w:tab/>
      </w:r>
      <w:r>
        <w:fldChar w:fldCharType="begin"/>
      </w:r>
      <w:r>
        <w:instrText>PAGEREF sec10 \h</w:instrText>
      </w:r>
      <w:r>
        <w:fldChar w:fldCharType="separate"/>
      </w:r>
      <w:r>
        <w:t>7</w:t>
      </w:r>
      <w:r>
        <w:fldChar w:fldCharType="end"/>
      </w:r>
    </w:p>
    <w:p>
      <w:pPr>
        <w:tabs>
          <w:tab w:pos="9071" w:val="right" w:leader="dot"/>
        </w:tabs>
        <w:spacing w:line="360" w:lineRule="auto"/>
        <w:ind w:firstLine="0" w:left="0"/>
      </w:pPr>
      <w:r>
        <w:t>3 REGRAS DE NEGÓCIO E RESULTADOS ESPERADOS</w:t>
        <w:tab/>
      </w:r>
      <w:r>
        <w:fldChar w:fldCharType="begin"/>
      </w:r>
      <w:r>
        <w:instrText>PAGEREF sec11 \h</w:instrText>
      </w:r>
      <w:r>
        <w:fldChar w:fldCharType="separate"/>
      </w:r>
      <w:r>
        <w:t>8</w:t>
      </w:r>
      <w:r>
        <w:fldChar w:fldCharType="end"/>
      </w:r>
    </w:p>
    <w:p>
      <w:pPr>
        <w:tabs>
          <w:tab w:pos="9071" w:val="right" w:leader="dot"/>
        </w:tabs>
        <w:spacing w:line="360" w:lineRule="auto"/>
        <w:ind w:firstLine="0" w:left="283"/>
      </w:pPr>
      <w:r>
        <w:t>3.1 Autenticação e acesso</w:t>
        <w:tab/>
      </w:r>
      <w:r>
        <w:fldChar w:fldCharType="begin"/>
      </w:r>
      <w:r>
        <w:instrText>PAGEREF sec12 \h</w:instrText>
      </w:r>
      <w:r>
        <w:fldChar w:fldCharType="separate"/>
      </w:r>
      <w:r>
        <w:t>8</w:t>
      </w:r>
      <w:r>
        <w:fldChar w:fldCharType="end"/>
      </w:r>
    </w:p>
    <w:p>
      <w:pPr>
        <w:tabs>
          <w:tab w:pos="9071" w:val="right" w:leader="dot"/>
        </w:tabs>
        <w:spacing w:line="360" w:lineRule="auto"/>
        <w:ind w:firstLine="0" w:left="283"/>
      </w:pPr>
      <w:r>
        <w:t>3.2 Agenda e datas</w:t>
        <w:tab/>
      </w:r>
      <w:r>
        <w:fldChar w:fldCharType="begin"/>
      </w:r>
      <w:r>
        <w:instrText>PAGEREF sec13 \h</w:instrText>
      </w:r>
      <w:r>
        <w:fldChar w:fldCharType="separate"/>
      </w:r>
      <w:r>
        <w:t>8</w:t>
      </w:r>
      <w:r>
        <w:fldChar w:fldCharType="end"/>
      </w:r>
    </w:p>
    <w:p>
      <w:pPr>
        <w:tabs>
          <w:tab w:pos="9071" w:val="right" w:leader="dot"/>
        </w:tabs>
        <w:spacing w:line="360" w:lineRule="auto"/>
        <w:ind w:firstLine="0" w:left="283"/>
      </w:pPr>
      <w:r>
        <w:t>3.3 Estoque pedidos e vendas</w:t>
        <w:tab/>
      </w:r>
      <w:r>
        <w:fldChar w:fldCharType="begin"/>
      </w:r>
      <w:r>
        <w:instrText>PAGEREF sec14 \h</w:instrText>
      </w:r>
      <w:r>
        <w:fldChar w:fldCharType="separate"/>
      </w:r>
      <w:r>
        <w:t>8</w:t>
      </w:r>
      <w:r>
        <w:fldChar w:fldCharType="end"/>
      </w:r>
    </w:p>
    <w:p>
      <w:pPr>
        <w:tabs>
          <w:tab w:pos="9071" w:val="right" w:leader="dot"/>
        </w:tabs>
        <w:spacing w:line="360" w:lineRule="auto"/>
        <w:ind w:firstLine="0" w:left="283"/>
      </w:pPr>
      <w:r>
        <w:t>3.4 Interface e recuperação</w:t>
        <w:tab/>
      </w:r>
      <w:r>
        <w:fldChar w:fldCharType="begin"/>
      </w:r>
      <w:r>
        <w:instrText>PAGEREF sec15 \h</w:instrText>
      </w:r>
      <w:r>
        <w:fldChar w:fldCharType="separate"/>
      </w:r>
      <w:r>
        <w:t>9</w:t>
      </w:r>
      <w:r>
        <w:fldChar w:fldCharType="end"/>
      </w:r>
    </w:p>
    <w:p>
      <w:pPr>
        <w:tabs>
          <w:tab w:pos="9071" w:val="right" w:leader="dot"/>
        </w:tabs>
        <w:spacing w:line="360" w:lineRule="auto"/>
        <w:ind w:firstLine="0" w:left="0"/>
      </w:pPr>
      <w:r>
        <w:t>4 PREPARAÇÃO E CRITÉRIOS DE EXECUÇÃO</w:t>
        <w:tab/>
      </w:r>
      <w:r>
        <w:fldChar w:fldCharType="begin"/>
      </w:r>
      <w:r>
        <w:instrText>PAGEREF sec16 \h</w:instrText>
      </w:r>
      <w:r>
        <w:fldChar w:fldCharType="separate"/>
      </w:r>
      <w:r>
        <w:t>10</w:t>
      </w:r>
      <w:r>
        <w:fldChar w:fldCharType="end"/>
      </w:r>
    </w:p>
    <w:p>
      <w:pPr>
        <w:tabs>
          <w:tab w:pos="9071" w:val="right" w:leader="dot"/>
        </w:tabs>
        <w:spacing w:line="360" w:lineRule="auto"/>
        <w:ind w:firstLine="0" w:left="283"/>
      </w:pPr>
      <w:r>
        <w:t>4.1 Condições de entrada</w:t>
        <w:tab/>
      </w:r>
      <w:r>
        <w:fldChar w:fldCharType="begin"/>
      </w:r>
      <w:r>
        <w:instrText>PAGEREF sec17 \h</w:instrText>
      </w:r>
      <w:r>
        <w:fldChar w:fldCharType="separate"/>
      </w:r>
      <w:r>
        <w:t>10</w:t>
      </w:r>
      <w:r>
        <w:fldChar w:fldCharType="end"/>
      </w:r>
    </w:p>
    <w:p>
      <w:pPr>
        <w:tabs>
          <w:tab w:pos="9071" w:val="right" w:leader="dot"/>
        </w:tabs>
        <w:spacing w:line="360" w:lineRule="auto"/>
        <w:ind w:firstLine="0" w:left="283"/>
      </w:pPr>
      <w:r>
        <w:t>4.2 Massa de dados</w:t>
        <w:tab/>
      </w:r>
      <w:r>
        <w:fldChar w:fldCharType="begin"/>
      </w:r>
      <w:r>
        <w:instrText>PAGEREF sec18 \h</w:instrText>
      </w:r>
      <w:r>
        <w:fldChar w:fldCharType="separate"/>
      </w:r>
      <w:r>
        <w:t>10</w:t>
      </w:r>
      <w:r>
        <w:fldChar w:fldCharType="end"/>
      </w:r>
    </w:p>
    <w:p>
      <w:pPr>
        <w:tabs>
          <w:tab w:pos="9071" w:val="right" w:leader="dot"/>
        </w:tabs>
        <w:spacing w:line="360" w:lineRule="auto"/>
        <w:ind w:firstLine="0" w:left="283"/>
      </w:pPr>
      <w:r>
        <w:t>4.3 Critérios de saída</w:t>
        <w:tab/>
      </w:r>
      <w:r>
        <w:fldChar w:fldCharType="begin"/>
      </w:r>
      <w:r>
        <w:instrText>PAGEREF sec19 \h</w:instrText>
      </w:r>
      <w:r>
        <w:fldChar w:fldCharType="separate"/>
      </w:r>
      <w:r>
        <w:t>10</w:t>
      </w:r>
      <w:r>
        <w:fldChar w:fldCharType="end"/>
      </w:r>
    </w:p>
    <w:p>
      <w:pPr>
        <w:tabs>
          <w:tab w:pos="9071" w:val="right" w:leader="dot"/>
        </w:tabs>
        <w:spacing w:line="360" w:lineRule="auto"/>
        <w:ind w:firstLine="0" w:left="283"/>
      </w:pPr>
      <w:r>
        <w:t>4.4 Classificação dos estados</w:t>
        <w:tab/>
      </w:r>
      <w:r>
        <w:fldChar w:fldCharType="begin"/>
      </w:r>
      <w:r>
        <w:instrText>PAGEREF sec20 \h</w:instrText>
      </w:r>
      <w:r>
        <w:fldChar w:fldCharType="separate"/>
      </w:r>
      <w:r>
        <w:t>11</w:t>
      </w:r>
      <w:r>
        <w:fldChar w:fldCharType="end"/>
      </w:r>
    </w:p>
    <w:p>
      <w:pPr>
        <w:tabs>
          <w:tab w:pos="9071" w:val="right" w:leader="dot"/>
        </w:tabs>
        <w:spacing w:line="360" w:lineRule="auto"/>
        <w:ind w:firstLine="0" w:left="0"/>
      </w:pPr>
      <w:r>
        <w:t>5 MATRIZ GOT E RASTREABILIDADE</w:t>
        <w:tab/>
      </w:r>
      <w:r>
        <w:fldChar w:fldCharType="begin"/>
      </w:r>
      <w:r>
        <w:instrText>PAGEREF sec21 \h</w:instrText>
      </w:r>
      <w:r>
        <w:fldChar w:fldCharType="separate"/>
      </w:r>
      <w:r>
        <w:t>12</w:t>
      </w:r>
      <w:r>
        <w:fldChar w:fldCharType="end"/>
      </w:r>
    </w:p>
    <w:p>
      <w:pPr>
        <w:tabs>
          <w:tab w:pos="9071" w:val="right" w:leader="dot"/>
        </w:tabs>
        <w:spacing w:line="360" w:lineRule="auto"/>
        <w:ind w:firstLine="0" w:left="283"/>
      </w:pPr>
      <w:r>
        <w:t>5.1 Organização da matriz</w:t>
        <w:tab/>
      </w:r>
      <w:r>
        <w:fldChar w:fldCharType="begin"/>
      </w:r>
      <w:r>
        <w:instrText>PAGEREF sec22 \h</w:instrText>
      </w:r>
      <w:r>
        <w:fldChar w:fldCharType="separate"/>
      </w:r>
      <w:r>
        <w:t>12</w:t>
      </w:r>
      <w:r>
        <w:fldChar w:fldCharType="end"/>
      </w:r>
    </w:p>
    <w:p>
      <w:pPr>
        <w:tabs>
          <w:tab w:pos="9071" w:val="right" w:leader="dot"/>
        </w:tabs>
        <w:spacing w:line="360" w:lineRule="auto"/>
        <w:ind w:firstLine="0" w:left="283"/>
      </w:pPr>
      <w:r>
        <w:t>5.2 Leitura dos resultados</w:t>
        <w:tab/>
      </w:r>
      <w:r>
        <w:fldChar w:fldCharType="begin"/>
      </w:r>
      <w:r>
        <w:instrText>PAGEREF sec23 \h</w:instrText>
      </w:r>
      <w:r>
        <w:fldChar w:fldCharType="separate"/>
      </w:r>
      <w:r>
        <w:t>12</w:t>
      </w:r>
      <w:r>
        <w:fldChar w:fldCharType="end"/>
      </w:r>
    </w:p>
    <w:p>
      <w:pPr>
        <w:tabs>
          <w:tab w:pos="9071" w:val="right" w:leader="dot"/>
        </w:tabs>
        <w:spacing w:line="360" w:lineRule="auto"/>
        <w:ind w:firstLine="0" w:left="0"/>
      </w:pPr>
      <w:r>
        <w:t>6 EXECUÇÃO DE TESTES MANUAIS E DE CAIXA PRETA</w:t>
        <w:tab/>
      </w:r>
      <w:r>
        <w:fldChar w:fldCharType="begin"/>
      </w:r>
      <w:r>
        <w:instrText>PAGEREF sec24 \h</w:instrText>
      </w:r>
      <w:r>
        <w:fldChar w:fldCharType="separate"/>
      </w:r>
      <w:r>
        <w:t>25</w:t>
      </w:r>
      <w:r>
        <w:fldChar w:fldCharType="end"/>
      </w:r>
    </w:p>
    <w:p>
      <w:pPr>
        <w:tabs>
          <w:tab w:pos="9071" w:val="right" w:leader="dot"/>
        </w:tabs>
        <w:spacing w:line="360" w:lineRule="auto"/>
        <w:ind w:firstLine="0" w:left="283"/>
      </w:pPr>
      <w:r>
        <w:t>6.1 Procedimento de execução</w:t>
        <w:tab/>
      </w:r>
      <w:r>
        <w:fldChar w:fldCharType="begin"/>
      </w:r>
      <w:r>
        <w:instrText>PAGEREF sec25 \h</w:instrText>
      </w:r>
      <w:r>
        <w:fldChar w:fldCharType="separate"/>
      </w:r>
      <w:r>
        <w:t>25</w:t>
      </w:r>
      <w:r>
        <w:fldChar w:fldCharType="end"/>
      </w:r>
    </w:p>
    <w:p>
      <w:pPr>
        <w:tabs>
          <w:tab w:pos="9071" w:val="right" w:leader="dot"/>
        </w:tabs>
        <w:spacing w:line="360" w:lineRule="auto"/>
        <w:ind w:firstLine="0" w:left="283"/>
      </w:pPr>
      <w:r>
        <w:t>6.2 Relação com a automação</w:t>
        <w:tab/>
      </w:r>
      <w:r>
        <w:fldChar w:fldCharType="begin"/>
      </w:r>
      <w:r>
        <w:instrText>PAGEREF sec26 \h</w:instrText>
      </w:r>
      <w:r>
        <w:fldChar w:fldCharType="separate"/>
      </w:r>
      <w:r>
        <w:t>25</w:t>
      </w:r>
      <w:r>
        <w:fldChar w:fldCharType="end"/>
      </w:r>
    </w:p>
    <w:p>
      <w:pPr>
        <w:tabs>
          <w:tab w:pos="9071" w:val="right" w:leader="dot"/>
        </w:tabs>
        <w:spacing w:line="360" w:lineRule="auto"/>
        <w:ind w:firstLine="0" w:left="0"/>
      </w:pPr>
      <w:r>
        <w:t>7 AUTOMAÇÃO COM JEST E PLAYWRIGHT</w:t>
        <w:tab/>
      </w:r>
      <w:r>
        <w:fldChar w:fldCharType="begin"/>
      </w:r>
      <w:r>
        <w:instrText>PAGEREF sec27 \h</w:instrText>
      </w:r>
      <w:r>
        <w:fldChar w:fldCharType="separate"/>
      </w:r>
      <w:r>
        <w:t>28</w:t>
      </w:r>
      <w:r>
        <w:fldChar w:fldCharType="end"/>
      </w:r>
    </w:p>
    <w:p>
      <w:pPr>
        <w:tabs>
          <w:tab w:pos="9071" w:val="right" w:leader="dot"/>
        </w:tabs>
        <w:spacing w:line="360" w:lineRule="auto"/>
        <w:ind w:firstLine="0" w:left="283"/>
      </w:pPr>
      <w:r>
        <w:t>7.1 Testes da API com Jest</w:t>
        <w:tab/>
      </w:r>
      <w:r>
        <w:fldChar w:fldCharType="begin"/>
      </w:r>
      <w:r>
        <w:instrText>PAGEREF sec28 \h</w:instrText>
      </w:r>
      <w:r>
        <w:fldChar w:fldCharType="separate"/>
      </w:r>
      <w:r>
        <w:t>28</w:t>
      </w:r>
      <w:r>
        <w:fldChar w:fldCharType="end"/>
      </w:r>
    </w:p>
    <w:p>
      <w:pPr>
        <w:tabs>
          <w:tab w:pos="9071" w:val="right" w:leader="dot"/>
        </w:tabs>
        <w:spacing w:line="360" w:lineRule="auto"/>
        <w:ind w:firstLine="0" w:left="283"/>
      </w:pPr>
      <w:r>
        <w:t>7.2 Testes de navegador com Playwright</w:t>
        <w:tab/>
      </w:r>
      <w:r>
        <w:fldChar w:fldCharType="begin"/>
      </w:r>
      <w:r>
        <w:instrText>PAGEREF sec29 \h</w:instrText>
      </w:r>
      <w:r>
        <w:fldChar w:fldCharType="separate"/>
      </w:r>
      <w:r>
        <w:t>28</w:t>
      </w:r>
      <w:r>
        <w:fldChar w:fldCharType="end"/>
      </w:r>
    </w:p>
    <w:p>
      <w:pPr>
        <w:tabs>
          <w:tab w:pos="9071" w:val="right" w:leader="dot"/>
        </w:tabs>
        <w:spacing w:line="360" w:lineRule="auto"/>
        <w:ind w:firstLine="0" w:left="283"/>
      </w:pPr>
      <w:r>
        <w:t>7.3 Validações complementares</w:t>
        <w:tab/>
      </w:r>
      <w:r>
        <w:fldChar w:fldCharType="begin"/>
      </w:r>
      <w:r>
        <w:instrText>PAGEREF sec30 \h</w:instrText>
      </w:r>
      <w:r>
        <w:fldChar w:fldCharType="separate"/>
      </w:r>
      <w:r>
        <w:t>28</w:t>
      </w:r>
      <w:r>
        <w:fldChar w:fldCharType="end"/>
      </w:r>
    </w:p>
    <w:p>
      <w:pPr>
        <w:tabs>
          <w:tab w:pos="9071" w:val="right" w:leader="dot"/>
        </w:tabs>
        <w:spacing w:line="360" w:lineRule="auto"/>
        <w:ind w:firstLine="0" w:left="283"/>
      </w:pPr>
      <w:r>
        <w:t>7.4 Evidências de falha</w:t>
        <w:tab/>
      </w:r>
      <w:r>
        <w:fldChar w:fldCharType="begin"/>
      </w:r>
      <w:r>
        <w:instrText>PAGEREF sec31 \h</w:instrText>
      </w:r>
      <w:r>
        <w:fldChar w:fldCharType="separate"/>
      </w:r>
      <w:r>
        <w:t>29</w:t>
      </w:r>
      <w:r>
        <w:fldChar w:fldCharType="end"/>
      </w:r>
    </w:p>
    <w:p>
      <w:pPr>
        <w:tabs>
          <w:tab w:pos="9071" w:val="right" w:leader="dot"/>
        </w:tabs>
        <w:spacing w:line="360" w:lineRule="auto"/>
        <w:ind w:firstLine="0" w:left="0"/>
      </w:pPr>
      <w:r>
        <w:t>8 DEFEITOS IDENTIFICADOS E CORREÇÕES APLICADAS</w:t>
        <w:tab/>
      </w:r>
      <w:r>
        <w:fldChar w:fldCharType="begin"/>
      </w:r>
      <w:r>
        <w:instrText>PAGEREF sec32 \h</w:instrText>
      </w:r>
      <w:r>
        <w:fldChar w:fldCharType="separate"/>
      </w:r>
      <w:r>
        <w:t>30</w:t>
      </w:r>
      <w:r>
        <w:fldChar w:fldCharType="end"/>
      </w:r>
    </w:p>
    <w:p>
      <w:pPr>
        <w:tabs>
          <w:tab w:pos="9071" w:val="right" w:leader="dot"/>
        </w:tabs>
        <w:spacing w:line="360" w:lineRule="auto"/>
        <w:ind w:firstLine="0" w:left="283"/>
      </w:pPr>
      <w:r>
        <w:t>8.1 Comissões e limites do período</w:t>
        <w:tab/>
      </w:r>
      <w:r>
        <w:fldChar w:fldCharType="begin"/>
      </w:r>
      <w:r>
        <w:instrText>PAGEREF sec33 \h</w:instrText>
      </w:r>
      <w:r>
        <w:fldChar w:fldCharType="separate"/>
      </w:r>
      <w:r>
        <w:t>30</w:t>
      </w:r>
      <w:r>
        <w:fldChar w:fldCharType="end"/>
      </w:r>
    </w:p>
    <w:p>
      <w:pPr>
        <w:tabs>
          <w:tab w:pos="9071" w:val="right" w:leader="dot"/>
        </w:tabs>
        <w:spacing w:line="360" w:lineRule="auto"/>
        <w:ind w:firstLine="0" w:left="283"/>
      </w:pPr>
      <w:r>
        <w:t>8.2 Edição de pedido e concorrência</w:t>
        <w:tab/>
      </w:r>
      <w:r>
        <w:fldChar w:fldCharType="begin"/>
      </w:r>
      <w:r>
        <w:instrText>PAGEREF sec34 \h</w:instrText>
      </w:r>
      <w:r>
        <w:fldChar w:fldCharType="separate"/>
      </w:r>
      <w:r>
        <w:t>30</w:t>
      </w:r>
      <w:r>
        <w:fldChar w:fldCharType="end"/>
      </w:r>
    </w:p>
    <w:p>
      <w:pPr>
        <w:tabs>
          <w:tab w:pos="9071" w:val="right" w:leader="dot"/>
        </w:tabs>
        <w:spacing w:line="360" w:lineRule="auto"/>
        <w:ind w:firstLine="0" w:left="283"/>
      </w:pPr>
      <w:r>
        <w:t>8.3 Falhas apresentadas como listas vazias</w:t>
        <w:tab/>
      </w:r>
      <w:r>
        <w:fldChar w:fldCharType="begin"/>
      </w:r>
      <w:r>
        <w:instrText>PAGEREF sec35 \h</w:instrText>
      </w:r>
      <w:r>
        <w:fldChar w:fldCharType="separate"/>
      </w:r>
      <w:r>
        <w:t>30</w:t>
      </w:r>
      <w:r>
        <w:fldChar w:fldCharType="end"/>
      </w:r>
    </w:p>
    <w:p>
      <w:pPr>
        <w:tabs>
          <w:tab w:pos="9071" w:val="right" w:leader="dot"/>
        </w:tabs>
        <w:spacing w:line="360" w:lineRule="auto"/>
        <w:ind w:firstLine="0" w:left="283"/>
      </w:pPr>
      <w:r>
        <w:t>8.4 Respostas antigas e perda de edição</w:t>
        <w:tab/>
      </w:r>
      <w:r>
        <w:fldChar w:fldCharType="begin"/>
      </w:r>
      <w:r>
        <w:instrText>PAGEREF sec36 \h</w:instrText>
      </w:r>
      <w:r>
        <w:fldChar w:fldCharType="separate"/>
      </w:r>
      <w:r>
        <w:t>31</w:t>
      </w:r>
      <w:r>
        <w:fldChar w:fldCharType="end"/>
      </w:r>
    </w:p>
    <w:p>
      <w:pPr>
        <w:tabs>
          <w:tab w:pos="9071" w:val="right" w:leader="dot"/>
        </w:tabs>
        <w:spacing w:line="360" w:lineRule="auto"/>
        <w:ind w:firstLine="0" w:left="283"/>
      </w:pPr>
      <w:r>
        <w:t>8.5 Última página após exclusão</w:t>
        <w:tab/>
      </w:r>
      <w:r>
        <w:fldChar w:fldCharType="begin"/>
      </w:r>
      <w:r>
        <w:instrText>PAGEREF sec37 \h</w:instrText>
      </w:r>
      <w:r>
        <w:fldChar w:fldCharType="separate"/>
      </w:r>
      <w:r>
        <w:t>32</w:t>
      </w:r>
      <w:r>
        <w:fldChar w:fldCharType="end"/>
      </w:r>
    </w:p>
    <w:p>
      <w:pPr>
        <w:tabs>
          <w:tab w:pos="9071" w:val="right" w:leader="dot"/>
        </w:tabs>
        <w:spacing w:line="360" w:lineRule="auto"/>
        <w:ind w:firstLine="0" w:left="283"/>
      </w:pPr>
      <w:r>
        <w:t>8.6 Ocorrências do ambiente e dos testes</w:t>
        <w:tab/>
      </w:r>
      <w:r>
        <w:fldChar w:fldCharType="begin"/>
      </w:r>
      <w:r>
        <w:instrText>PAGEREF sec38 \h</w:instrText>
      </w:r>
      <w:r>
        <w:fldChar w:fldCharType="separate"/>
      </w:r>
      <w:r>
        <w:t>32</w:t>
      </w:r>
      <w:r>
        <w:fldChar w:fldCharType="end"/>
      </w:r>
    </w:p>
    <w:p>
      <w:pPr>
        <w:tabs>
          <w:tab w:pos="9071" w:val="right" w:leader="dot"/>
        </w:tabs>
        <w:spacing w:line="360" w:lineRule="auto"/>
        <w:ind w:firstLine="0" w:left="0"/>
      </w:pPr>
      <w:r>
        <w:t>9 REEXECUÇÃO E ANÁLISE DOS RESULTADOS</w:t>
        <w:tab/>
      </w:r>
      <w:r>
        <w:fldChar w:fldCharType="begin"/>
      </w:r>
      <w:r>
        <w:instrText>PAGEREF sec39 \h</w:instrText>
      </w:r>
      <w:r>
        <w:fldChar w:fldCharType="separate"/>
      </w:r>
      <w:r>
        <w:t>33</w:t>
      </w:r>
      <w:r>
        <w:fldChar w:fldCharType="end"/>
      </w:r>
    </w:p>
    <w:p>
      <w:pPr>
        <w:tabs>
          <w:tab w:pos="9071" w:val="right" w:leader="dot"/>
        </w:tabs>
        <w:spacing w:line="360" w:lineRule="auto"/>
        <w:ind w:firstLine="0" w:left="283"/>
      </w:pPr>
      <w:r>
        <w:t>9.1 Execuções registradas</w:t>
        <w:tab/>
      </w:r>
      <w:r>
        <w:fldChar w:fldCharType="begin"/>
      </w:r>
      <w:r>
        <w:instrText>PAGEREF sec40 \h</w:instrText>
      </w:r>
      <w:r>
        <w:fldChar w:fldCharType="separate"/>
      </w:r>
      <w:r>
        <w:t>33</w:t>
      </w:r>
      <w:r>
        <w:fldChar w:fldCharType="end"/>
      </w:r>
    </w:p>
    <w:p>
      <w:pPr>
        <w:tabs>
          <w:tab w:pos="9071" w:val="right" w:leader="dot"/>
        </w:tabs>
        <w:spacing w:line="360" w:lineRule="auto"/>
        <w:ind w:firstLine="0" w:left="283"/>
      </w:pPr>
      <w:r>
        <w:t>9.2 Interpretação dos totais</w:t>
        <w:tab/>
      </w:r>
      <w:r>
        <w:fldChar w:fldCharType="begin"/>
      </w:r>
      <w:r>
        <w:instrText>PAGEREF sec41 \h</w:instrText>
      </w:r>
      <w:r>
        <w:fldChar w:fldCharType="separate"/>
      </w:r>
      <w:r>
        <w:t>35</w:t>
      </w:r>
      <w:r>
        <w:fldChar w:fldCharType="end"/>
      </w:r>
    </w:p>
    <w:p>
      <w:pPr>
        <w:tabs>
          <w:tab w:pos="9071" w:val="right" w:leader="dot"/>
        </w:tabs>
        <w:spacing w:line="360" w:lineRule="auto"/>
        <w:ind w:firstLine="0" w:left="283"/>
      </w:pPr>
      <w:r>
        <w:t>9.3 Critérios de avaliação final</w:t>
        <w:tab/>
      </w:r>
      <w:r>
        <w:fldChar w:fldCharType="begin"/>
      </w:r>
      <w:r>
        <w:instrText>PAGEREF sec42 \h</w:instrText>
      </w:r>
      <w:r>
        <w:fldChar w:fldCharType="separate"/>
      </w:r>
      <w:r>
        <w:t>35</w:t>
      </w:r>
      <w:r>
        <w:fldChar w:fldCharType="end"/>
      </w:r>
    </w:p>
    <w:p>
      <w:pPr>
        <w:tabs>
          <w:tab w:pos="9071" w:val="right" w:leader="dot"/>
        </w:tabs>
        <w:spacing w:line="360" w:lineRule="auto"/>
        <w:ind w:firstLine="0" w:left="0"/>
      </w:pPr>
      <w:r>
        <w:t>10 PLANO DE EVOLUÇÃO DA QUALIDADE</w:t>
        <w:tab/>
      </w:r>
      <w:r>
        <w:fldChar w:fldCharType="begin"/>
      </w:r>
      <w:r>
        <w:instrText>PAGEREF sec43 \h</w:instrText>
      </w:r>
      <w:r>
        <w:fldChar w:fldCharType="separate"/>
      </w:r>
      <w:r>
        <w:t>36</w:t>
      </w:r>
      <w:r>
        <w:fldChar w:fldCharType="end"/>
      </w:r>
    </w:p>
    <w:p>
      <w:pPr>
        <w:tabs>
          <w:tab w:pos="9071" w:val="right" w:leader="dot"/>
        </w:tabs>
        <w:spacing w:line="360" w:lineRule="auto"/>
        <w:ind w:firstLine="0" w:left="283"/>
      </w:pPr>
      <w:r>
        <w:t>10.1 Próximas campanhas</w:t>
        <w:tab/>
      </w:r>
      <w:r>
        <w:fldChar w:fldCharType="begin"/>
      </w:r>
      <w:r>
        <w:instrText>PAGEREF sec44 \h</w:instrText>
      </w:r>
      <w:r>
        <w:fldChar w:fldCharType="separate"/>
      </w:r>
      <w:r>
        <w:t>36</w:t>
      </w:r>
      <w:r>
        <w:fldChar w:fldCharType="end"/>
      </w:r>
    </w:p>
    <w:p>
      <w:pPr>
        <w:tabs>
          <w:tab w:pos="9071" w:val="right" w:leader="dot"/>
        </w:tabs>
        <w:spacing w:line="360" w:lineRule="auto"/>
        <w:ind w:firstLine="0" w:left="283"/>
      </w:pPr>
      <w:r>
        <w:t>10.2 Registro e tratamento de novos defeitos</w:t>
        <w:tab/>
      </w:r>
      <w:r>
        <w:fldChar w:fldCharType="begin"/>
      </w:r>
      <w:r>
        <w:instrText>PAGEREF sec45 \h</w:instrText>
      </w:r>
      <w:r>
        <w:fldChar w:fldCharType="separate"/>
      </w:r>
      <w:r>
        <w:t>36</w:t>
      </w:r>
      <w:r>
        <w:fldChar w:fldCharType="end"/>
      </w:r>
    </w:p>
    <w:p>
      <w:pPr>
        <w:tabs>
          <w:tab w:pos="9071" w:val="right" w:leader="dot"/>
        </w:tabs>
        <w:spacing w:line="360" w:lineRule="auto"/>
        <w:ind w:firstLine="0" w:left="283"/>
      </w:pPr>
      <w:r>
        <w:t>10.3 Manutenção deste plano</w:t>
        <w:tab/>
      </w:r>
      <w:r>
        <w:fldChar w:fldCharType="begin"/>
      </w:r>
      <w:r>
        <w:instrText>PAGEREF sec46 \h</w:instrText>
      </w:r>
      <w:r>
        <w:fldChar w:fldCharType="separate"/>
      </w:r>
      <w:r>
        <w:t>36</w:t>
      </w:r>
      <w:r>
        <w:fldChar w:fldCharType="end"/>
      </w:r>
    </w:p>
    <w:p>
      <w:pPr>
        <w:tabs>
          <w:tab w:pos="9071" w:val="right" w:leader="dot"/>
        </w:tabs>
        <w:spacing w:line="360" w:lineRule="auto"/>
        <w:ind w:firstLine="0" w:left="0"/>
      </w:pPr>
      <w:r>
        <w:t>REFERÊNCIAS</w:t>
        <w:tab/>
      </w:r>
      <w:r>
        <w:fldChar w:fldCharType="begin"/>
      </w:r>
      <w:r>
        <w:instrText>PAGEREF sec47 \h</w:instrText>
      </w:r>
      <w:r>
        <w:fldChar w:fldCharType="separate"/>
      </w:r>
      <w:r>
        <w:t>37</w:t>
      </w:r>
      <w:r>
        <w:fldChar w:fldCharType="end"/>
      </w:r>
    </w:p>
    <w:p>
      <w:pPr>
        <w:tabs>
          <w:tab w:pos="9071" w:val="right" w:leader="dot"/>
        </w:tabs>
        <w:spacing w:line="360" w:lineRule="auto"/>
        <w:ind w:firstLine="0" w:left="0"/>
      </w:pPr>
      <w:r>
        <w:t>11 ATUALIZAÇÃO DOS CRITÉRIOS DE TESTE E PAGAMENTOS</w:t>
        <w:tab/>
      </w:r>
      <w:r>
        <w:fldChar w:fldCharType="begin"/>
      </w:r>
      <w:r>
        <w:instrText>PAGEREF sec48 \h</w:instrText>
      </w:r>
      <w:r>
        <w:fldChar w:fldCharType="separate"/>
      </w:r>
      <w:r>
        <w:t>39</w:t>
      </w:r>
      <w:r>
        <w:fldChar w:fldCharType="end"/>
      </w:r>
    </w:p>
    <w:p>
      <w:pPr>
        <w:tabs>
          <w:tab w:pos="9071" w:val="right" w:leader="dot"/>
        </w:tabs>
        <w:spacing w:line="360" w:lineRule="auto"/>
        <w:ind w:firstLine="0" w:left="283"/>
      </w:pPr>
      <w:r>
        <w:t>11.1 Objetivo e ambiente</w:t>
        <w:tab/>
      </w:r>
      <w:r>
        <w:fldChar w:fldCharType="begin"/>
      </w:r>
      <w:r>
        <w:instrText>PAGEREF sec49 \h</w:instrText>
      </w:r>
      <w:r>
        <w:fldChar w:fldCharType="separate"/>
      </w:r>
      <w:r>
        <w:t>39</w:t>
      </w:r>
      <w:r>
        <w:fldChar w:fldCharType="end"/>
      </w:r>
    </w:p>
    <w:p>
      <w:pPr>
        <w:tabs>
          <w:tab w:pos="9071" w:val="right" w:leader="dot"/>
        </w:tabs>
        <w:spacing w:line="360" w:lineRule="auto"/>
        <w:ind w:firstLine="0" w:left="283"/>
      </w:pPr>
      <w:r>
        <w:t>11.2 Matriz GOT</w:t>
        <w:tab/>
      </w:r>
      <w:r>
        <w:fldChar w:fldCharType="begin"/>
      </w:r>
      <w:r>
        <w:instrText>PAGEREF sec50 \h</w:instrText>
      </w:r>
      <w:r>
        <w:fldChar w:fldCharType="separate"/>
      </w:r>
      <w:r>
        <w:t>39</w:t>
      </w:r>
      <w:r>
        <w:fldChar w:fldCharType="end"/>
      </w:r>
    </w:p>
    <w:p>
      <w:pPr>
        <w:tabs>
          <w:tab w:pos="9071" w:val="right" w:leader="dot"/>
        </w:tabs>
        <w:spacing w:line="360" w:lineRule="auto"/>
        <w:ind w:firstLine="0" w:left="283"/>
      </w:pPr>
      <w:r>
        <w:t>11.3 Como executar</w:t>
        <w:tab/>
      </w:r>
      <w:r>
        <w:fldChar w:fldCharType="begin"/>
      </w:r>
      <w:r>
        <w:instrText>PAGEREF sec51 \h</w:instrText>
      </w:r>
      <w:r>
        <w:fldChar w:fldCharType="separate"/>
      </w:r>
      <w:r>
        <w:t>42</w:t>
      </w:r>
      <w:r>
        <w:fldChar w:fldCharType="end"/>
      </w:r>
    </w:p>
    <w:p>
      <w:pPr>
        <w:tabs>
          <w:tab w:pos="9071" w:val="right" w:leader="dot"/>
        </w:tabs>
        <w:spacing w:line="360" w:lineRule="auto"/>
        <w:ind w:firstLine="0" w:left="283"/>
      </w:pPr>
      <w:r>
        <w:t>11.4 Registro de evidências</w:t>
        <w:tab/>
      </w:r>
      <w:r>
        <w:fldChar w:fldCharType="begin"/>
      </w:r>
      <w:r>
        <w:instrText>PAGEREF sec52 \h</w:instrText>
      </w:r>
      <w:r>
        <w:fldChar w:fldCharType="separate"/>
      </w:r>
      <w:r>
        <w:t>42</w:t>
      </w:r>
      <w:r>
        <w:fldChar w:fldCharType="end"/>
      </w:r>
    </w:p>
    <w:p>
      <w:pPr>
        <w:tabs>
          <w:tab w:pos="9071" w:val="right" w:leader="dot"/>
        </w:tabs>
        <w:spacing w:line="360" w:lineRule="auto"/>
        <w:ind w:firstLine="0" w:left="283"/>
      </w:pPr>
      <w:r>
        <w:t>11.5 Critérios de liberação</w:t>
        <w:tab/>
      </w:r>
      <w:r>
        <w:fldChar w:fldCharType="begin"/>
      </w:r>
      <w:r>
        <w:instrText>PAGEREF sec53 \h</w:instrText>
      </w:r>
      <w:r>
        <w:fldChar w:fldCharType="separate"/>
      </w:r>
      <w:r>
        <w:t>43</w:t>
      </w:r>
      <w:r>
        <w:fldChar w:fldCharType="end"/>
      </w:r>
    </w:p>
    <w:p>
      <w:pPr>
        <w:tabs>
          <w:tab w:pos="9071" w:val="right" w:leader="dot"/>
        </w:tabs>
        <w:spacing w:line="360" w:lineRule="auto"/>
        <w:ind w:firstLine="0" w:left="283"/>
        <w:sectPr>
          <w:headerReference w:type="default" r:id="rId97"/>
          <w:type w:val="nextPage"/>
          <w:footerReference w:type="default" r:id="rId7"/>
          <w:pgSz w:h="16838" w:w="11906"/>
          <w:pgMar w:bottom="1134" w:top="1701" w:left="1701" w:right="1134" w:header="850" w:footer="567"/>
        </w:sectPr>
      </w:pPr>
      <w:r>
        <w:t>11.6 Homologação detalhada de assinaturas</w:t>
        <w:tab/>
      </w:r>
      <w:r>
        <w:fldChar w:fldCharType="begin"/>
      </w:r>
      <w:r>
        <w:instrText>PAGEREF sec54 \h</w:instrText>
      </w:r>
      <w:r>
        <w:fldChar w:fldCharType="separate"/>
      </w:r>
      <w:r>
        <w:t>43</w:t>
      </w:r>
      <w:r>
        <w:fldChar w:fldCharType="end"/>
      </w:r>
      <w:r>
        <w:fldChar w:fldCharType="end"/>
      </w:r>
    </w:p>
    <w:p>
      <w:bookmarkStart w:id="1" w:name="sec1"/>
      <w:pPr>
        <w:pStyle w:val="Heading1"/>
        <w:pageBreakBefore/>
        <w:spacing w:before="0" w:after="360"/>
        <w:jc w:val="left"/>
      </w:pPr>
      <w:r>
        <w:t>1 IDENTIFICAÇÃO DO PROJETO</w:t>
      </w:r>
      <w:bookmarkEnd w:id="1"/>
    </w:p>
    <w:p>
      <w:bookmarkStart w:id="2" w:name="sec2"/>
      <w:pPr>
        <w:pStyle w:val="Heading2"/>
        <w:spacing w:before="360" w:after="360"/>
        <w:jc w:val="left"/>
      </w:pPr>
      <w:r>
        <w:t>1.1 Sistema e referência de versão</w:t>
      </w:r>
      <w:bookmarkEnd w:id="2"/>
    </w:p>
    <w:p>
      <w:pPr>
        <w:spacing w:line="360" w:lineRule="auto" w:after="0"/>
        <w:ind w:firstLine="709"/>
        <w:jc w:val="both"/>
      </w:pPr>
      <w:r>
        <w:rPr>
          <w:rFonts w:ascii="Arial" w:hAnsi="Arial"/>
          <w:b w:val="0"/>
          <w:sz w:val="24"/>
        </w:rPr>
        <w:t>Projeto: Nexly, plataforma web de gestão para pequenos negócios. Referência técnica: commit 44b3b4d do repositório Breno-J-Oliveira/Nexly. Data desta edição: 18 de outubro de 2026. Este plano reúne casos de teste, critérios de aceite e evidências locais anteriores à redação. Não foi realizada uma nova campanha de testes de software apenas para produzir este documento.</w:t>
      </w:r>
    </w:p>
    <w:p>
      <w:bookmarkStart w:id="3" w:name="sec3"/>
      <w:pPr>
        <w:pStyle w:val="Heading2"/>
        <w:spacing w:before="360" w:after="360"/>
        <w:jc w:val="left"/>
      </w:pPr>
      <w:r>
        <w:t>1.2 Responsabilidades</w:t>
      </w:r>
      <w:bookmarkEnd w:id="3"/>
    </w:p>
    <w:p>
      <w:pPr>
        <w:spacing w:line="360" w:lineRule="auto" w:after="0"/>
        <w:ind w:firstLine="709"/>
        <w:jc w:val="both"/>
      </w:pPr>
      <w:r>
        <w:rPr>
          <w:rFonts w:ascii="Arial" w:hAnsi="Arial"/>
          <w:b w:val="0"/>
          <w:sz w:val="24"/>
        </w:rPr>
        <w:t>A manutenção do plano cabe à equipe do projeto. A execução deve identificar pessoa responsável, revisão, ambiente, data e arquivos de resultado. O histórico de commits identifica alterações de código; os logs identificam execuções. A aprovação acadêmica e a homologação comercial exigem responsáveis e procedimentos próprios, não substituídos por este relatório.</w:t>
      </w:r>
    </w:p>
    <w:p>
      <w:bookmarkStart w:id="4" w:name="sec4"/>
      <w:pPr>
        <w:pStyle w:val="Heading2"/>
        <w:spacing w:before="360" w:after="360"/>
        <w:jc w:val="left"/>
      </w:pPr>
      <w:r>
        <w:t>1.3 Ambientes e ferramentas</w:t>
      </w:r>
      <w:bookmarkEnd w:id="4"/>
    </w:p>
    <w:p>
      <w:pPr>
        <w:spacing w:line="360" w:lineRule="auto" w:after="0"/>
        <w:ind w:firstLine="709"/>
        <w:jc w:val="both"/>
      </w:pPr>
      <w:r>
        <w:rPr>
          <w:rFonts w:ascii="Arial" w:hAnsi="Arial"/>
          <w:b w:val="0"/>
          <w:sz w:val="24"/>
        </w:rPr>
        <w:t>Os testes registrados utilizaram aplicação web Next.js, API NestJS, PostgreSQL e Redis locais. Os manifestos declaram Jest 30.5.2 e Playwright 1.63, além de TypeScript. A suíte de navegador está configurada com Chromium. O CI utiliza seu próprio ambiente Linux e serviços. Dados sintéticos e empresas descartáveis evitam operações sobre usuários reais.</w:t>
      </w:r>
    </w:p>
    <w:p>
      <w:pPr>
        <w:sectPr>
          <w:headerReference w:type="default" r:id="rId98"/>
          <w:type w:val="nextPage"/>
          <w:footerReference w:type="default" r:id="rId15"/>
          <w:pgSz w:h="11906" w:w="16838" w:orient="landscape"/>
          <w:pgMar w:bottom="1134" w:top="1701" w:left="1701" w:right="1134" w:header="850" w:footer="567"/>
        </w:sectPr>
      </w:pPr>
    </w:p>
    <w:p>
      <w:bookmarkStart w:id="5" w:name="sec5"/>
      <w:pPr>
        <w:pStyle w:val="Heading1"/>
        <w:pageBreakBefore/>
        <w:spacing w:before="0" w:after="360"/>
        <w:jc w:val="left"/>
      </w:pPr>
      <w:r>
        <w:t>2 ESCOPO E ESTRATÉGIA DE TESTE</w:t>
      </w:r>
      <w:bookmarkEnd w:id="5"/>
    </w:p>
    <w:p>
      <w:bookmarkStart w:id="6" w:name="sec6"/>
      <w:pPr>
        <w:pStyle w:val="Heading2"/>
        <w:spacing w:before="360" w:after="360"/>
        <w:jc w:val="left"/>
      </w:pPr>
      <w:r>
        <w:t>2.1 Objetivo</w:t>
      </w:r>
      <w:bookmarkEnd w:id="6"/>
    </w:p>
    <w:p>
      <w:pPr>
        <w:spacing w:line="360" w:lineRule="auto" w:after="0"/>
        <w:ind w:firstLine="709"/>
        <w:jc w:val="both"/>
      </w:pPr>
      <w:r>
        <w:rPr>
          <w:rFonts w:ascii="Arial" w:hAnsi="Arial"/>
          <w:b w:val="0"/>
          <w:sz w:val="24"/>
        </w:rPr>
        <w:t>Verificar se jornadas e regras importantes do Nexly produzem resultados coerentes, preservam informações e respeitam autorização. A validação deve observar a tela, a resposta da API e, quando necessário, o banco. Por isso, além de abrir a página, os testes conferem o resultado da ação.</w:t>
      </w:r>
    </w:p>
    <w:p>
      <w:bookmarkStart w:id="7" w:name="sec7"/>
      <w:pPr>
        <w:pStyle w:val="Heading2"/>
        <w:spacing w:before="360" w:after="360"/>
        <w:jc w:val="left"/>
      </w:pPr>
      <w:r>
        <w:t>2.2 Itens incluídos</w:t>
      </w:r>
      <w:bookmarkEnd w:id="7"/>
    </w:p>
    <w:p>
      <w:pPr>
        <w:spacing w:line="360" w:lineRule="auto" w:after="0"/>
        <w:ind w:firstLine="709"/>
        <w:jc w:val="both"/>
      </w:pPr>
      <w:r>
        <w:rPr>
          <w:rFonts w:ascii="Arial" w:hAnsi="Arial"/>
          <w:b w:val="0"/>
          <w:sz w:val="24"/>
        </w:rPr>
        <w:t>O plano contempla autenticação, cadastro, presets, conta, convites, agenda, clientes, serviços, estoque, pedidos, vendas, relatórios, comissões, fidelidade, módulos operacionais, sessão e interface responsiva. Inclui caminhos negativos e concorrência. Os casos são agrupados por risco e vinculados a arquivos de teste ou roteiros manuais.</w:t>
      </w:r>
    </w:p>
    <w:p>
      <w:bookmarkStart w:id="8" w:name="sec8"/>
      <w:pPr>
        <w:pStyle w:val="Heading2"/>
        <w:spacing w:before="360" w:after="360"/>
        <w:jc w:val="left"/>
      </w:pPr>
      <w:r>
        <w:t>2.3 Itens fora da evidência atual</w:t>
      </w:r>
      <w:bookmarkEnd w:id="8"/>
    </w:p>
    <w:p>
      <w:pPr>
        <w:spacing w:line="360" w:lineRule="auto" w:after="0"/>
        <w:ind w:firstLine="709"/>
        <w:jc w:val="both"/>
      </w:pPr>
      <w:r>
        <w:rPr>
          <w:rFonts w:ascii="Arial" w:hAnsi="Arial"/>
          <w:b w:val="0"/>
          <w:sz w:val="24"/>
        </w:rPr>
        <w:t>Não há comprovação nesta campanha de envio real de e-mail, entrega de WhatsApp a destinatário real, carga comercial prolongada, penetração independente, conformidade integral com acessibilidade ou restauração recente de uma cópia externa de produção. Esses itens constam como planejados e dependem de ambiente, configuração e responsáveis adequados.</w:t>
      </w:r>
    </w:p>
    <w:p>
      <w:bookmarkStart w:id="9" w:name="sec9"/>
      <w:pPr>
        <w:pStyle w:val="Heading2"/>
        <w:spacing w:before="360" w:after="360"/>
        <w:jc w:val="left"/>
      </w:pPr>
      <w:r>
        <w:t>2.4 Níveis e técnicas</w:t>
      </w:r>
      <w:bookmarkEnd w:id="9"/>
    </w:p>
    <w:p>
      <w:pPr>
        <w:spacing w:line="360" w:lineRule="auto" w:after="0"/>
        <w:ind w:firstLine="709"/>
        <w:jc w:val="both"/>
      </w:pPr>
      <w:r>
        <w:rPr>
          <w:rFonts w:ascii="Arial" w:hAnsi="Arial"/>
          <w:b w:val="0"/>
          <w:sz w:val="24"/>
        </w:rPr>
        <w:t>Teste unitário avalia uma regra com dependências controladas. Integração verifica a combinação entre componentes, inclusive o banco real. Teste ponta a ponta acompanha uma jornada pelo navegador. Caixa preta avalia entradas e saídas sem depender da implementação interna; caixa branca considera caminhos do código. Valores de borda, entradas inválidas e disputas simultâneas complementam os casos usuais.</w:t>
      </w:r>
    </w:p>
    <w:p>
      <w:pPr>
        <w:sectPr>
          <w:headerReference w:type="default" r:id="rId99"/>
          <w:type w:val="nextPage"/>
          <w:footerReference w:type="default" r:id="rId17"/>
          <w:pgSz w:h="11906" w:w="16838" w:orient="landscape"/>
          <w:pgMar w:bottom="1134" w:top="1701" w:left="1701" w:right="1134" w:header="850" w:footer="567"/>
        </w:sectPr>
      </w:pPr>
    </w:p>
    <w:p>
      <w:bookmarkStart w:id="10" w:name="sec10"/>
      <w:pPr>
        <w:pStyle w:val="Heading2"/>
        <w:spacing w:before="0" w:after="360"/>
        <w:jc w:val="left"/>
      </w:pPr>
      <w:r>
        <w:t>2.5 Priorização por risco</w:t>
      </w:r>
      <w:bookmarkEnd w:id="10"/>
    </w:p>
    <w:p>
      <w:pPr>
        <w:spacing w:line="360" w:lineRule="auto" w:after="0"/>
        <w:ind w:firstLine="709"/>
        <w:jc w:val="both"/>
      </w:pPr>
      <w:r>
        <w:rPr>
          <w:rFonts w:ascii="Arial" w:hAnsi="Arial"/>
          <w:b w:val="0"/>
          <w:sz w:val="24"/>
        </w:rPr>
        <w:t>Prioridade crítica corresponde a acesso indevido, perda de dados ou alteração incorreta de estoque e valores. Prioridade alta inclui falhas que impedem concluir tarefas relevantes. Prioridade média inclui busca, apresentação e recuperação sem efeitos financeiros diretos. Essa classificação organiza a execução e não substitui a avaliação de impacto de um defeito concreto.</w:t>
      </w:r>
    </w:p>
    <w:p>
      <w:pPr>
        <w:sectPr>
          <w:headerReference w:type="default" r:id="rId100"/>
          <w:type w:val="nextPage"/>
          <w:footerReference w:type="default" r:id="rId19"/>
          <w:pgSz w:h="11906" w:w="16838" w:orient="landscape"/>
          <w:pgMar w:bottom="1134" w:top="1701" w:left="1701" w:right="1134" w:header="850" w:footer="567"/>
        </w:sectPr>
      </w:pPr>
    </w:p>
    <w:p>
      <w:bookmarkStart w:id="11" w:name="sec11"/>
      <w:pPr>
        <w:pStyle w:val="Heading1"/>
        <w:pageBreakBefore/>
        <w:spacing w:before="0" w:after="360"/>
        <w:jc w:val="left"/>
      </w:pPr>
      <w:r>
        <w:t>3 REGRAS DE NEGÓCIO E RESULTADOS ESPERADOS</w:t>
      </w:r>
      <w:bookmarkEnd w:id="11"/>
    </w:p>
    <w:p>
      <w:bookmarkStart w:id="12" w:name="sec12"/>
      <w:pPr>
        <w:pStyle w:val="Heading2"/>
        <w:spacing w:before="360" w:after="360"/>
        <w:jc w:val="left"/>
      </w:pPr>
      <w:r>
        <w:t>3.1 Autenticação e acesso</w:t>
      </w:r>
      <w:bookmarkEnd w:id="12"/>
    </w:p>
    <w:p>
      <w:pPr>
        <w:spacing w:line="360" w:lineRule="auto" w:after="0"/>
        <w:ind w:firstLine="709"/>
        <w:jc w:val="both"/>
      </w:pPr>
      <w:r>
        <w:rPr>
          <w:rFonts w:ascii="Arial" w:hAnsi="Arial"/>
          <w:b w:val="0"/>
          <w:sz w:val="24"/>
        </w:rPr>
        <w:t>Uma conta deve autenticar com credenciais válidas, respeitar segundo fator quando habilitado e perder acesso quando a sessão for confirmada inválida. Respostas temporárias de indisponibilidade ou limitação não devem ser confundidas com revogação. Convite aceito não deve criar contas novamente. Menu e busca devem refletir o papel e os módulos habilitados.</w:t>
      </w:r>
    </w:p>
    <w:p>
      <w:bookmarkStart w:id="13" w:name="sec13"/>
      <w:pPr>
        <w:pStyle w:val="Heading2"/>
        <w:spacing w:before="360" w:after="360"/>
        <w:jc w:val="left"/>
      </w:pPr>
      <w:r>
        <w:t>3.2 Agenda e datas</w:t>
      </w:r>
      <w:bookmarkEnd w:id="13"/>
    </w:p>
    <w:p>
      <w:pPr>
        <w:spacing w:line="360" w:lineRule="auto" w:after="0"/>
        <w:ind w:firstLine="709"/>
        <w:jc w:val="both"/>
      </w:pPr>
      <w:r>
        <w:rPr>
          <w:rFonts w:ascii="Arial" w:hAnsi="Arial"/>
          <w:b w:val="0"/>
          <w:sz w:val="24"/>
        </w:rPr>
        <w:t>Horários devem respeitar profissional, duração, disponibilidade e fuso. Duas solicitações em disputa não podem reservar a mesma capacidade incompatível. Períodos devem ser válidos e incluir os limites apresentados ao usuário. Um atendimento no fim do dia local deve ser considerado no período correto mesmo que já pertença ao dia seguinte em UTC.</w:t>
      </w:r>
    </w:p>
    <w:p>
      <w:bookmarkStart w:id="14" w:name="sec14"/>
      <w:pPr>
        <w:pStyle w:val="Heading2"/>
        <w:spacing w:before="360" w:after="360"/>
        <w:jc w:val="left"/>
      </w:pPr>
      <w:r>
        <w:t>3.3 Estoque pedidos e vendas</w:t>
      </w:r>
      <w:bookmarkEnd w:id="14"/>
    </w:p>
    <w:p>
      <w:pPr>
        <w:spacing w:line="360" w:lineRule="auto" w:after="0"/>
        <w:ind w:firstLine="709"/>
        <w:jc w:val="both"/>
      </w:pPr>
      <w:r>
        <w:rPr>
          <w:rFonts w:ascii="Arial" w:hAnsi="Arial"/>
          <w:b w:val="0"/>
          <w:sz w:val="24"/>
        </w:rPr>
        <w:t>Baixas e recebimentos não podem ser duplicados por repetição da ação. A edição de itens do pedido deve ser transacional. Um pedido recebido não pode ser cancelado pelo fluxo comum. Pendências de insumo precisam continuar disponíveis após reinício, e erros inesperados devem reverter efeitos parciais. Valores de vendas devem preservar totais e descontos conforme a regra implementada.</w:t>
      </w:r>
    </w:p>
    <w:p>
      <w:bookmarkStart w:id="15" w:name="sec15"/>
      <w:pPr>
        <w:pStyle w:val="Heading2"/>
        <w:spacing w:before="360" w:after="360"/>
        <w:jc w:val="left"/>
      </w:pPr>
      <w:r>
        <w:t>3.4 Interface e recuperação</w:t>
      </w:r>
      <w:bookmarkEnd w:id="15"/>
    </w:p>
    <w:p>
      <w:pPr>
        <w:spacing w:line="360" w:lineRule="auto" w:after="0"/>
        <w:ind w:firstLine="709"/>
        <w:jc w:val="both"/>
      </w:pPr>
      <w:r>
        <w:rPr>
          <w:rFonts w:ascii="Arial" w:hAnsi="Arial"/>
          <w:b w:val="0"/>
          <w:sz w:val="24"/>
        </w:rPr>
        <w:t>Falha de consulta não deve ser apresentada como ausência válida de registros. Formulários devem preservar dados após falha de envio. Fechar edição operacional alterada deve exigir decisão de descarte. Teclado, rótulos, foco e largura da página precisam permitir executar as tarefas sem depender exclusivamente do mouse.</w:t>
      </w:r>
    </w:p>
    <w:p>
      <w:pPr>
        <w:sectPr>
          <w:headerReference w:type="default" r:id="rId101"/>
          <w:type w:val="nextPage"/>
          <w:footerReference w:type="default" r:id="rId21"/>
          <w:pgSz w:h="11906" w:w="16838" w:orient="landscape"/>
          <w:pgMar w:bottom="1134" w:top="1701" w:left="1701" w:right="1134" w:header="850" w:footer="567"/>
        </w:sectPr>
      </w:pPr>
    </w:p>
    <w:p>
      <w:bookmarkStart w:id="16" w:name="sec16"/>
      <w:pPr>
        <w:pStyle w:val="Heading1"/>
        <w:pageBreakBefore/>
        <w:spacing w:before="0" w:after="360"/>
        <w:jc w:val="left"/>
      </w:pPr>
      <w:r>
        <w:t>4 PREPARAÇÃO E CRITÉRIOS DE EXECUÇÃO</w:t>
      </w:r>
      <w:bookmarkEnd w:id="16"/>
    </w:p>
    <w:p>
      <w:bookmarkStart w:id="17" w:name="sec17"/>
      <w:pPr>
        <w:pStyle w:val="Heading2"/>
        <w:spacing w:before="360" w:after="360"/>
        <w:jc w:val="left"/>
      </w:pPr>
      <w:r>
        <w:t>4.1 Condições de entrada</w:t>
      </w:r>
      <w:bookmarkEnd w:id="17"/>
    </w:p>
    <w:p>
      <w:pPr>
        <w:spacing w:line="360" w:lineRule="auto" w:after="0"/>
        <w:ind w:firstLine="709"/>
        <w:jc w:val="both"/>
      </w:pPr>
      <w:r>
        <w:rPr>
          <w:rFonts w:ascii="Arial" w:hAnsi="Arial"/>
          <w:b w:val="0"/>
          <w:sz w:val="24"/>
        </w:rPr>
        <w:t>Identificar o commit; preparar dependências; gerar o Prisma Client; aplicar migrações no banco de teste; conferir os endereços da API e frontend; verificar PostgreSQL e Redis; desativar envio real de mensagens; e preparar contas descartáveis. Antes de executar scripts que limpam dados, confirmar que DATABASE_URL aponta para destino local autorizado.</w:t>
      </w:r>
    </w:p>
    <w:p>
      <w:bookmarkStart w:id="18" w:name="sec18"/>
      <w:pPr>
        <w:pStyle w:val="Heading2"/>
        <w:spacing w:before="360" w:after="360"/>
        <w:jc w:val="left"/>
      </w:pPr>
      <w:r>
        <w:t>4.2 Massa de dados</w:t>
      </w:r>
      <w:bookmarkEnd w:id="18"/>
    </w:p>
    <w:p>
      <w:pPr>
        <w:spacing w:line="360" w:lineRule="auto" w:after="0"/>
        <w:ind w:firstLine="709"/>
        <w:jc w:val="both"/>
      </w:pPr>
      <w:r>
        <w:rPr>
          <w:rFonts w:ascii="Arial" w:hAnsi="Arial"/>
          <w:b w:val="0"/>
          <w:sz w:val="24"/>
        </w:rPr>
        <w:t>Utilizar empresas distintas para isolamento, papéis diferentes para autorização e registros identificados como teste. Incluir produto com saldo conhecido, profissional com percentual de 25%, serviço de R$ 120,00 e atendimentos próximos à meia-noite. Para concorrência, preparar o mesmo recurso alvo e executar as solicitações de modo sincronizado. Ao final, remover apenas as fixtures criadas pela execução.</w:t>
      </w:r>
    </w:p>
    <w:p>
      <w:bookmarkStart w:id="19" w:name="sec19"/>
      <w:pPr>
        <w:pStyle w:val="Heading2"/>
        <w:spacing w:before="360" w:after="360"/>
        <w:jc w:val="left"/>
      </w:pPr>
      <w:r>
        <w:t>4.3 Critérios de saída</w:t>
      </w:r>
      <w:bookmarkEnd w:id="19"/>
    </w:p>
    <w:p>
      <w:pPr>
        <w:spacing w:line="360" w:lineRule="auto" w:after="0"/>
        <w:ind w:firstLine="709"/>
        <w:jc w:val="both"/>
      </w:pPr>
      <w:r>
        <w:rPr>
          <w:rFonts w:ascii="Arial" w:hAnsi="Arial"/>
          <w:b w:val="0"/>
          <w:sz w:val="24"/>
        </w:rPr>
        <w:t>A campanha atende seus critérios quando os casos selecionados foram executados, as divergências foram registradas, as correções relevantes foram revalidadas e os bloqueios estão identificados. Casos não executados não contam como aprovados. Uma campanha parcial pode ter resultados úteis, mas não deve ser apresentada como homologação integral do produto.</w:t>
      </w:r>
    </w:p>
    <w:p>
      <w:bookmarkStart w:id="20" w:name="sec20"/>
      <w:pPr>
        <w:pStyle w:val="Heading2"/>
        <w:spacing w:before="360" w:after="360"/>
        <w:jc w:val="left"/>
      </w:pPr>
      <w:r>
        <w:t>4.4 Classificação dos estados</w:t>
      </w:r>
      <w:bookmarkEnd w:id="20"/>
    </w:p>
    <w:p>
      <w:pPr>
        <w:spacing w:line="360" w:lineRule="auto" w:after="0"/>
        <w:ind w:firstLine="709"/>
        <w:jc w:val="both"/>
      </w:pPr>
      <w:r>
        <w:rPr>
          <w:rFonts w:ascii="Arial" w:hAnsi="Arial"/>
          <w:b w:val="0"/>
          <w:sz w:val="24"/>
        </w:rPr>
        <w:t>Passou: resultado observado corresponde ao esperado no escopo registrado. Falhou: uma asserção ou resultado divergiu e precisa de investigação. Bloqueado: não foi possível executar por dependência identificada. Planejado: caso definido sem execução registrada. Não registrada: não existe observação inicial confiável. Corrigido e revalidado: a alteração foi seguida de uma nova evidência compatível.</w:t>
      </w:r>
    </w:p>
    <w:p>
      <w:pPr>
        <w:sectPr>
          <w:headerReference w:type="default" r:id="rId102"/>
          <w:type w:val="nextPage"/>
          <w:footerReference w:type="default" r:id="rId23"/>
          <w:pgSz w:h="11906" w:w="16838" w:orient="landscape"/>
          <w:pgMar w:bottom="1134" w:top="1701" w:left="1701" w:right="1134" w:header="850" w:footer="567"/>
        </w:sectPr>
      </w:pPr>
    </w:p>
    <w:p>
      <w:bookmarkStart w:id="21" w:name="sec21"/>
      <w:pPr>
        <w:pStyle w:val="Heading1"/>
        <w:pageBreakBefore/>
        <w:spacing w:before="0" w:after="360"/>
        <w:jc w:val="left"/>
      </w:pPr>
      <w:r>
        <w:t>5 MATRIZ GOT E RASTREABILIDADE</w:t>
      </w:r>
      <w:bookmarkEnd w:id="21"/>
    </w:p>
    <w:p>
      <w:bookmarkStart w:id="22" w:name="sec22"/>
      <w:pPr>
        <w:pStyle w:val="Heading2"/>
        <w:spacing w:before="360" w:after="360"/>
        <w:jc w:val="left"/>
      </w:pPr>
      <w:r>
        <w:t>5.1 Organização da matriz</w:t>
      </w:r>
      <w:bookmarkEnd w:id="22"/>
    </w:p>
    <w:p>
      <w:pPr>
        <w:spacing w:line="360" w:lineRule="auto" w:after="0"/>
        <w:ind w:firstLine="709"/>
        <w:jc w:val="both"/>
      </w:pPr>
      <w:r>
        <w:rPr>
          <w:rFonts w:ascii="Arial" w:hAnsi="Arial"/>
          <w:b w:val="0"/>
          <w:sz w:val="24"/>
        </w:rPr>
        <w:t>GOT é utilizado neste documento no sentido do modelo fornecido: Guia de Ordem de Testes. Cada caso apresenta identificador, cenário, entrada, resultado esperado, observação inicial e estado final. A estrutura segue o modelo fornecido, com cenários e evidências próprios do Nexly.</w:t>
      </w:r>
    </w:p>
    <w:p>
      <w:bookmarkStart w:id="23" w:name="sec23"/>
      <w:pPr>
        <w:pStyle w:val="Heading2"/>
        <w:spacing w:before="360" w:after="360"/>
        <w:jc w:val="left"/>
      </w:pPr>
      <w:r>
        <w:t>5.2 Leitura dos resultados</w:t>
      </w:r>
      <w:bookmarkEnd w:id="23"/>
    </w:p>
    <w:p>
      <w:pPr>
        <w:spacing w:line="360" w:lineRule="auto" w:after="0"/>
        <w:ind w:firstLine="709"/>
        <w:jc w:val="both"/>
      </w:pPr>
      <w:r>
        <w:rPr>
          <w:rFonts w:ascii="Arial" w:hAnsi="Arial"/>
          <w:b w:val="0"/>
          <w:sz w:val="24"/>
        </w:rPr>
        <w:t>Quando a primeira execução de uma regra não foi preservada, o campo inicial indica Não registrada. Quando houve falha de preparação do navegador ou seletor ambíguo, essa ocorrência é descrita como problema da execução ou do teste, e não automaticamente como defeito funcional do produto. Os arquivos e os registros que sustentam cada caso aparecem no catálogo de evidências.</w:t>
      </w:r>
    </w:p>
    <w:p>
      <w:pPr>
        <w:sectPr>
          <w:headerReference w:type="default" r:id="rId103"/>
          <w:type w:val="nextPage"/>
          <w:footerReference w:type="default" r:id="rId25"/>
          <w:pgSz w:h="11906" w:w="16838" w:orient="landscape"/>
          <w:pgMar w:bottom="1134" w:top="1701" w:left="1701" w:right="1134" w:header="850" w:footer="567"/>
        </w:sectPr>
      </w:pPr>
    </w:p>
    <w:p>
      <w:pPr>
        <w:spacing w:line="240" w:lineRule="auto" w:after="100"/>
        <w:ind w:firstLine="0"/>
        <w:jc w:val="center"/>
      </w:pPr>
      <w:r>
        <w:rPr>
          <w:rFonts w:ascii="Arial" w:hAnsi="Arial"/>
          <w:b w:val="0"/>
          <w:sz w:val="20"/>
        </w:rPr>
        <w:t>Quadro 1 — Matriz GOT de cenários e resultados</w:t>
      </w:r>
    </w:p>
    <w:tbl>
      <w:tblPr>
        <w:tblW w:type="auto" w:w="0"/>
        <w:tblLayout w:type="fixed"/>
        <w:tblLook w:firstColumn="1" w:firstRow="1" w:lastColumn="0" w:lastRow="0" w:noHBand="0" w:noVBand="1" w:val="04A0"/>
      </w:tblPr>
      <w:tblGrid>
        <w:gridCol w:w="1202"/>
        <w:gridCol w:w="2061"/>
        <w:gridCol w:w="2233"/>
        <w:gridCol w:w="2577"/>
        <w:gridCol w:w="2577"/>
        <w:gridCol w:w="1718"/>
        <w:gridCol w:w="1632"/>
      </w:tblGrid>
      <w:tr>
        <w:trPr>
          <w:tblHeader/>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ID e requisito</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Cenário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Entrada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Esperado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Obtido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Inicial</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Final</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CT01 / RF01</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Login acessível no celular</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Conta local válida; largura 390 px</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Campos rotulados e acesso ao painel</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Fluxo aprovado na bateria de 42 testes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CT02 / RF01</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Credenciais sem JavaScript</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Formulário de login com JavaScript desativado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enviar senha ou e-mail pela URL</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Verificação aprovada</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CT03 / RF02</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Revisão do cadastro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Dados locais válidos; aceite não marcado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Revisar etapas e exigir aceite</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Revisão e bloqueio sem aceite aprovados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CT04 / RF03</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Preset persistido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Seleção de módulos no cadastro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Preservar seleção e permitir alteração posterior</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Cadastro e alteração persistidos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CT05 / RF04</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Conta pessoal</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Usuário PROFISSIONAL; nova senha diferente</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Alterar senha própria e gerenciar sessões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Jornada aprovada após ajuste do seletor do título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Seletor ambíguo na regressão; corrigido</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CT06 / RF05</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Segundo fator</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Conta local; autenticador e código de recuperação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Configurar 2FA e impedir repetição indevida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Configuração, recuperação e repetição verificadas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bl>
    <w:p>
      <w:pPr>
        <w:sectPr>
          <w:headerReference w:type="default" r:id="rId104"/>
          <w:type w:val="nextPage"/>
          <w:footerReference w:type="default" r:id="rId27"/>
          <w:pgSz w:h="11906" w:w="16838" w:orient="landscape"/>
          <w:pgMar w:bottom="1134" w:top="1701" w:left="1701" w:right="1134" w:header="850" w:footer="567"/>
        </w:sectPr>
      </w:pPr>
    </w:p>
    <w:tbl>
      <w:tblPr>
        <w:tblW w:type="auto" w:w="0"/>
        <w:tblLayout w:type="fixed"/>
        <w:tblLook w:firstColumn="1" w:firstRow="1" w:lastColumn="0" w:lastRow="0" w:noHBand="0" w:noVBand="1" w:val="04A0"/>
      </w:tblPr>
      <w:tblGrid>
        <w:gridCol w:w="1202"/>
        <w:gridCol w:w="2061"/>
        <w:gridCol w:w="2233"/>
        <w:gridCol w:w="2577"/>
        <w:gridCol w:w="2577"/>
        <w:gridCol w:w="1718"/>
        <w:gridCol w:w="1632"/>
      </w:tblGrid>
      <w:tr>
        <w:trPr>
          <w:tblHeader/>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ID e requisito</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Cenário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Entrada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Esperado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Obtido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Inicial</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Final</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CT07 / RF06</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Convite de usuário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ADMIN; convite para CAIXA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Criar uma conta na empresa correta e impedir reutilização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Conta criada uma vez com papel CAIXA</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CT08 / RF06</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Ativação de acesso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Usuário local criado para o teste</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Desativar, reativar e persistir a alteração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Estado do usuário conferido no banco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CT09 / RF07</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Clientes com contato opcional</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Cliente sem e-mail ou telefone obrigatório no fluxo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Salvar conforme validação atual</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Cadastro e permissões aprovados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CT10 / RF07</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Consulta e recuperação de clientes</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Lista paginada; busca; falha de rede controlada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Pesquisar, paginar e recuperar consulta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Cenário de CRM aprovado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CT11 / RF08</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Detalhe e busca de serviços</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Serviço existente e busca sem correspondência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Abrir detalhe e apresentar lista sem resultado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Interação e pesquisa aprovadas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CT12 / RF09</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Agenda no celular</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Filtros; atendimento; cancelamento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Persistir criação e aplicar filtros e status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Jornada da agenda aprovada</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CT13 / RF10</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Reserva pública e conflito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Serviço e profissional; fuso da empresa; disputa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Confirmar horário válido e recuperar conflito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Fluxo público aprovado sem envio real</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bl>
    <w:p>
      <w:pPr>
        <w:sectPr>
          <w:headerReference w:type="default" r:id="rId105"/>
          <w:type w:val="nextPage"/>
          <w:footerReference w:type="default" r:id="rId29"/>
          <w:pgSz w:h="11906" w:w="16838" w:orient="landscape"/>
          <w:pgMar w:bottom="1134" w:top="1701" w:left="1701" w:right="1134" w:header="850" w:footer="567"/>
        </w:sectPr>
      </w:pPr>
    </w:p>
    <w:tbl>
      <w:tblPr>
        <w:tblW w:type="auto" w:w="0"/>
        <w:tblLayout w:type="fixed"/>
        <w:tblLook w:firstColumn="1" w:firstRow="1" w:lastColumn="0" w:lastRow="0" w:noHBand="0" w:noVBand="1" w:val="04A0"/>
      </w:tblPr>
      <w:tblGrid>
        <w:gridCol w:w="1202"/>
        <w:gridCol w:w="2061"/>
        <w:gridCol w:w="2233"/>
        <w:gridCol w:w="2577"/>
        <w:gridCol w:w="2577"/>
        <w:gridCol w:w="1718"/>
        <w:gridCol w:w="1632"/>
      </w:tblGrid>
      <w:tr>
        <w:trPr>
          <w:tblHeader/>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ID e requisito</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Cenário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Entrada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Esperado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Obtido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Inicial</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Final</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CT14 / RF10</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Catálogo público indisponível</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Falha de conexão e catálogo vazio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Recuperar consulta sem carregamento infinito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Cenário negativo aprovado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CT15 / RF11</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Horário e fuso da empresa</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Intervalos e fuso editados em celular</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Validar intervalos e persistir fuso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Configuração e persistência verificadas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CT16 / RF12</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Entrada e validade de produto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Produto local; entrada; data de validade</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Atualizar saldo e preservar data de calendário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Busca, entrada e validade aprovadas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CT17 / RF13</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Conclusão repetida</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Mesmo agendamento concluído novamente</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Descontar insumos uma única vez</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Saldo e repetição verificados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CT18 / RF14</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Pendência persistente</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Insumo sem saldo e requisições simultâneas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Guardar pendência e reprocessar uma vez</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Persistência, concorrência e cancelamento aprovados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CT19 / RF14</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Erro inesperado no consumo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Falha induzida após primeiro insumo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Reverter status, CRM e descontos da transação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Rollback dos efeitos conferido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CT20 / RF15</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Pedido completo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Fornecedor; saldo 1; sugestão de 7 unidades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Criar, enviar, receber e chegar ao saldo 8</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Status RECEBIDO e saldo 8 conferidos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bl>
    <w:p>
      <w:pPr>
        <w:sectPr>
          <w:headerReference w:type="default" r:id="rId106"/>
          <w:type w:val="nextPage"/>
          <w:footerReference w:type="default" r:id="rId31"/>
          <w:pgSz w:h="11906" w:w="16838" w:orient="landscape"/>
          <w:pgMar w:bottom="1134" w:top="1701" w:left="1701" w:right="1134" w:header="850" w:footer="567"/>
        </w:sectPr>
      </w:pPr>
    </w:p>
    <w:tbl>
      <w:tblPr>
        <w:tblW w:type="auto" w:w="0"/>
        <w:tblLayout w:type="fixed"/>
        <w:tblLook w:firstColumn="1" w:firstRow="1" w:lastColumn="0" w:lastRow="0" w:noHBand="0" w:noVBand="1" w:val="04A0"/>
      </w:tblPr>
      <w:tblGrid>
        <w:gridCol w:w="1202"/>
        <w:gridCol w:w="2061"/>
        <w:gridCol w:w="2233"/>
        <w:gridCol w:w="2577"/>
        <w:gridCol w:w="2577"/>
        <w:gridCol w:w="1718"/>
        <w:gridCol w:w="1632"/>
      </w:tblGrid>
      <w:tr>
        <w:trPr>
          <w:tblHeader/>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ID e requisito</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Cenário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Entrada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Esperado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Obtido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Inicial</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Final</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CT21 / RF15</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Recebimento repetido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Pedido recebido; nova solicitação de receber</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Rejeitar sem somar estoque novamente</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Resposta 422 e saldo 8 mantido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CT22 / RF15</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Cancelamento após recebimento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Pedido em RECEBIDO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Rejeitar o cancelamento comum</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Resposta 422; status e saldo preservados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CT23 / RF15</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Edição atômica do pedido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Rascunho; falha durante troca dos itens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Preservar itens antigos por rollback</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Rollback conferido em PostgreSQL local</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CT24 / RF15</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Disputa receber e cancelar</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Oito disputas concorrentes em banco local</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Estado final compatível com a entrada de estoque</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Consistência conferida nas oito disputas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CT25 / RF15</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Status de filtro inválido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Filtro inexistente ou vazio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Rejeitar entrada antes da consulta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Dois casos unitários aprovados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CT26 / RF16</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Histórico de vendas</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Vendas locais e período de consulta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Apresentar totais e itens e exportar período correto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Histórico e CSV aprovados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CT27 / RF17</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Relatórios e permissões</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Usuário autenticado; cargo restrito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Exportar com autenticação e respeitar papel</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Relatório e painel restrito verificados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bl>
    <w:p>
      <w:pPr>
        <w:sectPr>
          <w:headerReference w:type="default" r:id="rId107"/>
          <w:type w:val="nextPage"/>
          <w:footerReference w:type="default" r:id="rId33"/>
          <w:pgSz w:h="11906" w:w="16838" w:orient="landscape"/>
          <w:pgMar w:bottom="1134" w:top="1701" w:left="1701" w:right="1134" w:header="850" w:footer="567"/>
        </w:sectPr>
      </w:pPr>
    </w:p>
    <w:tbl>
      <w:tblPr>
        <w:tblW w:type="auto" w:w="0"/>
        <w:tblLayout w:type="fixed"/>
        <w:tblLook w:firstColumn="1" w:firstRow="1" w:lastColumn="0" w:lastRow="0" w:noHBand="0" w:noVBand="1" w:val="04A0"/>
      </w:tblPr>
      <w:tblGrid>
        <w:gridCol w:w="1202"/>
        <w:gridCol w:w="2061"/>
        <w:gridCol w:w="2233"/>
        <w:gridCol w:w="2577"/>
        <w:gridCol w:w="2577"/>
        <w:gridCol w:w="1718"/>
        <w:gridCol w:w="1632"/>
      </w:tblGrid>
      <w:tr>
        <w:trPr>
          <w:tblHeader/>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ID e requisito</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Cenário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Entrada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Esperado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Obtido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Inicial</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Final</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CT28 / RF17</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Cota de exportação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Duas contas e ações de privacidade</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Aplicar limite por conta sem bloquear colega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Cotas e controles de privacidade aprovados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CT29 / RF18</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Comissão no fim do dia</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Atendimento local 23h30; R$ 120; comissão 25%</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Incluir um serviço e calcular R$ 30</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Faturamento 120; comissão 30; um serviço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CT30 / RF18</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Períodos inválidos</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Data inexistente, vazia, invertida ou sem fuso exigido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Rejeitar sem consulta indevida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Quatro conjuntos inválidos e limites válidos aprovados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CT31 / RF18</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Consulta antiga de comissão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Resposta antiga retida; novo filtro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Manter resposta atual e descartar antiga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Resposta atual preservada</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CT32 / RF19</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Fidelidade indisponível</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503 em ranking e segmentos; depois sucesso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Mostrar erro e permitir recuperação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Ranking e segmentos recuperados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CT33 / RF20</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Cadastros auxiliares indisponíveis</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Erro em opções; lista principal termina depois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Manter erro de opções e bloquear formulário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Erro preservado e recuperação habilitou criação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CT34 / RF21</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Gestão de filiais e tarefas</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Empresa local; filial; tarefa com responsável</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Persistir filial e alterar situação de tarefa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Cadastros e filtros aprovados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bl>
    <w:p>
      <w:pPr>
        <w:sectPr>
          <w:headerReference w:type="default" r:id="rId108"/>
          <w:type w:val="nextPage"/>
          <w:footerReference w:type="default" r:id="rId35"/>
          <w:pgSz w:h="11906" w:w="16838" w:orient="landscape"/>
          <w:pgMar w:bottom="1134" w:top="1701" w:left="1701" w:right="1134" w:header="850" w:footer="567"/>
        </w:sectPr>
      </w:pPr>
    </w:p>
    <w:tbl>
      <w:tblPr>
        <w:tblW w:type="auto" w:w="0"/>
        <w:tblLayout w:type="fixed"/>
        <w:tblLook w:firstColumn="1" w:firstRow="1" w:lastColumn="0" w:lastRow="0" w:noHBand="0" w:noVBand="1" w:val="04A0"/>
      </w:tblPr>
      <w:tblGrid>
        <w:gridCol w:w="1202"/>
        <w:gridCol w:w="2061"/>
        <w:gridCol w:w="2233"/>
        <w:gridCol w:w="2577"/>
        <w:gridCol w:w="2577"/>
        <w:gridCol w:w="1718"/>
        <w:gridCol w:w="1632"/>
      </w:tblGrid>
      <w:tr>
        <w:trPr>
          <w:tblHeader/>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ID e requisito</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Cenário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Entrada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Esperado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Obtido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Inicial</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Final</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CT35 / RF22</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Documento e versão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Documento local e atualização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Persistir documento e respeitar regras de versão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Fluxo operacional aprovado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CT36 / RF23</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Recorrência</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Cliente, serviço, profissional e quatro horários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Criar série e cancelar próximos sem apagar histórico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Quatro atendimentos criados e cancelados no cenário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CT37 / RF24</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Automação de tarefa</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Automação local com execução vencida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Executar rotina prevista e criar tarefa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Criação associada à automação conferida</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CT38 / RF25</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Campanha e consentimento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Contatos locais com autorização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Persistir campanha e restringir contatos elegíveis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Fluxo de campanha e consentimento aprovado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CT39 / RF26</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Sessão temporariamente indisponível</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Respostas 503 e 429 na verificação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Preservar acesso e oferecer recuperação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Dois cenários temporários aprovados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CT40 / RF26</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Sessão inválida</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Resposta que confirma invalidação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Retornar ao login</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Redirecionamento aprovado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CT41 / RF27</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Configuração em carregamento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Dados salvos e resposta atrasada ou falha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Aguardar dados e permitir recuperação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Configuração preservada e recuperada</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bl>
    <w:p>
      <w:pPr>
        <w:sectPr>
          <w:headerReference w:type="default" r:id="rId109"/>
          <w:type w:val="nextPage"/>
          <w:footerReference w:type="default" r:id="rId37"/>
          <w:pgSz w:h="11906" w:w="16838" w:orient="landscape"/>
          <w:pgMar w:bottom="1134" w:top="1701" w:left="1701" w:right="1134" w:header="850" w:footer="567"/>
        </w:sectPr>
      </w:pPr>
    </w:p>
    <w:tbl>
      <w:tblPr>
        <w:tblW w:type="auto" w:w="0"/>
        <w:tblLayout w:type="fixed"/>
        <w:tblLook w:firstColumn="1" w:firstRow="1" w:lastColumn="0" w:lastRow="0" w:noHBand="0" w:noVBand="1" w:val="04A0"/>
      </w:tblPr>
      <w:tblGrid>
        <w:gridCol w:w="1202"/>
        <w:gridCol w:w="2061"/>
        <w:gridCol w:w="2233"/>
        <w:gridCol w:w="2577"/>
        <w:gridCol w:w="2577"/>
        <w:gridCol w:w="1718"/>
        <w:gridCol w:w="1632"/>
      </w:tblGrid>
      <w:tr>
        <w:trPr>
          <w:tblHeader/>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ID e requisito</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Cenário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Entrada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Esperado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Obtido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Inicial</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Final</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CT42 / RF28</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Mensagem externa simulada</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Simulação, falha e aceite controlados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Distinguir estados sem afirmar entrega real</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Estados verificados sem mensagens reais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CT43 / RF29</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Páginas responsivas</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Rotas públicas e protegidas; 1440 e 390 px</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causar overflow global nem erro JavaScript</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Duas larguras aprovadas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CT44 / RF30</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Busca rápida e foco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Ctrl+K; comissoes sem acento; Tab; celular</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Buscar, navegar, fechar e restaurar foco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Fluxo novo aprovado e captura revisada</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CT45 / RF30</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Busca com papel restrito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Conta PROFISSIONAL</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oferecer Usuários, Configurações ou PDV</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Opções administrativas ausentes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CT46 / RF31</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Aviso de conexão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Navegador offline e depois online</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Mostrar orientação e remover aviso ao reconectar</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Aviso acompanhou estado da conexão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CT47 / RF32</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Proteção do rascunho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Título alterado; Escape; continuar ou descartar</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Preservar valor ao continuar e fechar após descarte</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Duas decisões verificadas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CT48 / RF32</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Última página após exclusão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51 registros; excluir último da página 2</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Voltar à página 1 com total 50</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Página 1 e primeiro registro apresentados</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bl>
    <w:p>
      <w:pPr>
        <w:sectPr>
          <w:headerReference w:type="default" r:id="rId110"/>
          <w:type w:val="nextPage"/>
          <w:footerReference w:type="default" r:id="rId39"/>
          <w:pgSz w:h="11906" w:w="16838" w:orient="landscape"/>
          <w:pgMar w:bottom="1134" w:top="1701" w:left="1701" w:right="1134" w:header="850" w:footer="567"/>
        </w:sectPr>
      </w:pPr>
    </w:p>
    <w:tbl>
      <w:tblPr>
        <w:tblW w:type="auto" w:w="0"/>
        <w:tblLayout w:type="fixed"/>
        <w:tblLook w:firstColumn="1" w:firstRow="1" w:lastColumn="0" w:lastRow="0" w:noHBand="0" w:noVBand="1" w:val="04A0"/>
      </w:tblPr>
      <w:tblGrid>
        <w:gridCol w:w="1202"/>
        <w:gridCol w:w="2061"/>
        <w:gridCol w:w="2233"/>
        <w:gridCol w:w="2577"/>
        <w:gridCol w:w="2577"/>
        <w:gridCol w:w="1718"/>
        <w:gridCol w:w="1632"/>
      </w:tblGrid>
      <w:tr>
        <w:trPr>
          <w:tblHeader/>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ID e requisito</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Cenário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Entrada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Esperado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Obtido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Inicial</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Final</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CT49 / RF15</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Compra com erro de envio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Sugestão 7; quantidade zero; depois resposta 422</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Rejeitar zero e preservar formulário após falha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Sem POST inválido; valor 7 mantido após erro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CT50 / RF33</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Recomendações públicas</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Página inicial e jornada de workspace</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apresentar recomendações fictícias fixas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Verificação da landing aprovada</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Passou no escopo indicado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CT51 / RF34</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Recuperação por e-mail real</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Provedor de homologação e remetente verificado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Emitir token com validade e uso único; não enumerar contas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executado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Planejado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CT52 / RNF01</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Restauração externa</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Backup cifrado e banco isolado autorizado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Restaurar estrutura e dados e verificar integridade e tempo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executado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Planejado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CT53 / RNF02</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Carga e desempenho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Metas de volume e ambiente equivalente definidos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Medir percentis, erros, banco e Redis contra metas acordadas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executado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Planejado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CT54 / RNF03</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Auditoria de acessibilidade</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Leitor de tela e usuários de tecnologia assistiva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Percorrer jornadas e registrar barreiras e correções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executado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Planejado</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CT55 / RF28</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Entrega externa de mensagem</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Conta e destinatário de homologação autorizados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Distinguir aceite, entrega e falha conforme retorno do provedor</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executado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Planejado</w:t>
            </w:r>
          </w:p>
        </w:tc>
      </w:tr>
    </w:tbl>
    <w:p>
      <w:pPr>
        <w:sectPr>
          <w:headerReference w:type="default" r:id="rId111"/>
          <w:type w:val="nextPage"/>
          <w:footerReference w:type="default" r:id="rId41"/>
          <w:pgSz w:h="11906" w:w="16838" w:orient="landscape"/>
          <w:pgMar w:bottom="1134" w:top="1701" w:left="1701" w:right="1134" w:header="850" w:footer="567"/>
        </w:sectPr>
      </w:pPr>
    </w:p>
    <w:tbl>
      <w:tblPr>
        <w:tblW w:type="auto" w:w="0"/>
        <w:tblLayout w:type="fixed"/>
        <w:tblLook w:firstColumn="1" w:firstRow="1" w:lastColumn="0" w:lastRow="0" w:noHBand="0" w:noVBand="1" w:val="04A0"/>
      </w:tblPr>
      <w:tblGrid>
        <w:gridCol w:w="1202"/>
        <w:gridCol w:w="2061"/>
        <w:gridCol w:w="2233"/>
        <w:gridCol w:w="2577"/>
        <w:gridCol w:w="2577"/>
        <w:gridCol w:w="1718"/>
        <w:gridCol w:w="1632"/>
      </w:tblGrid>
      <w:tr>
        <w:trPr>
          <w:tblHeader/>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ID e requisito</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Cenário</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Entrada</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Esperado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Obtido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Inicial</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Final</w:t>
            </w:r>
          </w:p>
        </w:tc>
      </w:tr>
      <w:tr>
        <w:trPr>
          <w:cantSplit/>
        </w:trPr>
        <w:tc>
          <w:tcPr>
            <w:tcW w:type="dxa" w:w="120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CT56 / RNF04</w:t>
            </w:r>
          </w:p>
        </w:tc>
        <w:tc>
          <w:tcPr>
            <w:tcW w:type="dxa" w:w="2061"/>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Revisão independente de segurança</w:t>
            </w:r>
          </w:p>
        </w:tc>
        <w:tc>
          <w:tcPr>
            <w:tcW w:type="dxa" w:w="2233"/>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Escopo, contas e ambiente de homologação definidos</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Testar autorização e exposição sem afetar terceiros ou produção</w:t>
            </w:r>
          </w:p>
        </w:tc>
        <w:tc>
          <w:tcPr>
            <w:tcW w:type="dxa" w:w="2577"/>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executado</w:t>
            </w:r>
          </w:p>
        </w:tc>
        <w:tc>
          <w:tcPr>
            <w:tcW w:type="dxa" w:w="1718"/>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Não registrada</w:t>
            </w:r>
          </w:p>
        </w:tc>
        <w:tc>
          <w:tcPr>
            <w:tcW w:type="dxa" w:w="1632"/>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Planejado</w:t>
            </w:r>
          </w:p>
        </w:tc>
      </w:tr>
    </w:tbl>
    <w:p>
      <w:pPr>
        <w:spacing w:line="240" w:lineRule="auto" w:after="160"/>
        <w:ind w:firstLine="0"/>
        <w:jc w:val="center"/>
      </w:pPr>
      <w:r>
        <w:rPr>
          <w:rFonts w:ascii="Arial" w:hAnsi="Arial"/>
          <w:b w:val="0"/>
          <w:sz w:val="20"/>
        </w:rPr>
        <w:t>Fonte: Elaborado pelos autores com base no código e nas evidências do Nexly (2026).</w:t>
      </w:r>
    </w:p>
    <w:p>
      <w:pPr>
        <w:sectPr>
          <w:headerReference w:type="default" r:id="rId112"/>
          <w:type w:val="nextPage"/>
          <w:footerReference w:type="default" r:id="rId43"/>
          <w:pgSz w:h="11906" w:w="16838" w:orient="landscape"/>
          <w:pgMar w:bottom="1134" w:top="1701" w:left="1701" w:right="1134" w:header="850" w:footer="567"/>
        </w:sectPr>
      </w:pPr>
    </w:p>
    <w:p>
      <w:pPr>
        <w:spacing w:line="240" w:lineRule="auto" w:after="100"/>
        <w:ind w:firstLine="0"/>
        <w:jc w:val="center"/>
      </w:pPr>
      <w:r>
        <w:rPr>
          <w:rFonts w:ascii="Arial" w:hAnsi="Arial"/>
          <w:b w:val="0"/>
          <w:sz w:val="20"/>
        </w:rPr>
        <w:t>Quadro 2 — Localização dos casos e evidências</w:t>
      </w:r>
    </w:p>
    <w:tbl>
      <w:tblPr>
        <w:tblW w:type="auto" w:w="0"/>
        <w:tblLayout w:type="fixed"/>
        <w:tblLook w:firstColumn="1" w:firstRow="1" w:lastColumn="0" w:lastRow="0" w:noHBand="0" w:noVBand="1" w:val="04A0"/>
      </w:tblPr>
      <w:tblGrid>
        <w:gridCol w:w="2265"/>
        <w:gridCol w:w="4530"/>
        <w:gridCol w:w="2265"/>
      </w:tblGrid>
      <w:tr>
        <w:trPr>
          <w:tblHeader/>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Casos</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Arquivo de teste ou registro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Evidência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CT01, CT02, CT03</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auth-ui.spec.ts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CT04, CT50</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workspace.spec.ts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CT05, CT45</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account.spec.ts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E06</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CT06</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two-factor.spec.ts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CT07, CT08</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users-review.spec.ts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CT09</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catalog-review.spec.ts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CT10</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crm-review.spec.ts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CT11, CT43</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design-navigation.spec.ts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CT12</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agenda-review.spec.ts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CT13, CT14, CT15</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public-booking.spec.ts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CT16</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stock-review.spec.ts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CT17</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stock-deduction.spec.ts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CT18, CT19</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stock-pending.spec.ts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CT20, CT21, CT22, CT29</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purchases-review.spec.ts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CT23, CT24</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verify-purchase-atomicity.cjs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E07</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CT25</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pedidos-compra.service.spec.ts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E02</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CT26</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sales-review.spec.ts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bl>
    <w:p>
      <w:pPr>
        <w:sectPr>
          <w:headerReference w:type="default" r:id="rId113"/>
          <w:type w:val="nextPage"/>
          <w:footerReference w:type="default" r:id="rId45"/>
          <w:pgSz w:h="11906" w:w="16838" w:orient="landscape"/>
          <w:pgMar w:bottom="1134" w:top="1701" w:left="1701" w:right="1134" w:header="850" w:footer="567"/>
        </w:sectPr>
      </w:pPr>
    </w:p>
    <w:tbl>
      <w:tblPr>
        <w:tblW w:type="auto" w:w="0"/>
        <w:tblLayout w:type="fixed"/>
        <w:tblLook w:firstColumn="1" w:firstRow="1" w:lastColumn="0" w:lastRow="0" w:noHBand="0" w:noVBand="1" w:val="04A0"/>
      </w:tblPr>
      <w:tblGrid>
        <w:gridCol w:w="2265"/>
        <w:gridCol w:w="4530"/>
        <w:gridCol w:w="2265"/>
      </w:tblGrid>
      <w:tr>
        <w:trPr>
          <w:tblHeader/>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Casos</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Arquivo de teste ou registro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Evidência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CT27</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review.spec.ts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CT28</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export-quota.spec.ts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CT30</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comissao.service.spec.ts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E02</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CT31, CT32, CT33, CT49</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loading-recovery.spec.ts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CT34, CT35, CT36, CT37, CT38</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operations.spec.ts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CT39, CT40</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session-recovery.spec.ts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CT41</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settings-loading.spec.ts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CT42</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whatsapp-settings.spec.ts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 / E05 conforme rodada</w:t>
            </w:r>
          </w:p>
        </w:tc>
      </w:tr>
      <w:tr>
        <w:trPr>
          <w:cantSplit/>
        </w:trPr>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CT44, CT46, CT47, CT48</w:t>
            </w:r>
          </w:p>
        </w:tc>
        <w:tc>
          <w:tcPr>
            <w:tcW w:type="dxa" w:w="453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commercial-experience.spec.ts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E04</w:t>
            </w:r>
          </w:p>
        </w:tc>
      </w:tr>
    </w:tbl>
    <w:p>
      <w:pPr>
        <w:spacing w:line="240" w:lineRule="auto" w:after="160"/>
        <w:ind w:firstLine="0"/>
        <w:jc w:val="center"/>
      </w:pPr>
      <w:r>
        <w:rPr>
          <w:rFonts w:ascii="Arial" w:hAnsi="Arial"/>
          <w:b w:val="0"/>
          <w:sz w:val="20"/>
        </w:rPr>
        <w:t>Fonte: Elaborado pelos autores com base no código e nas evidências do Nexly (2026).</w:t>
      </w:r>
    </w:p>
    <w:p>
      <w:pPr>
        <w:sectPr>
          <w:headerReference w:type="default" r:id="rId114"/>
          <w:type w:val="nextPage"/>
          <w:footerReference w:type="default" r:id="rId47"/>
          <w:pgSz w:h="11906" w:w="16838" w:orient="landscape"/>
          <w:pgMar w:bottom="1134" w:top="1701" w:left="1701" w:right="1134" w:header="850" w:footer="567"/>
        </w:sectPr>
      </w:pPr>
    </w:p>
    <w:p>
      <w:bookmarkStart w:id="24" w:name="sec24"/>
      <w:pPr>
        <w:pStyle w:val="Heading1"/>
        <w:pageBreakBefore/>
        <w:spacing w:before="0" w:after="360"/>
        <w:jc w:val="left"/>
      </w:pPr>
      <w:r>
        <w:t>6 EXECUÇÃO DE TESTES MANUAIS E DE CAIXA PRETA</w:t>
      </w:r>
      <w:bookmarkEnd w:id="24"/>
    </w:p>
    <w:p>
      <w:bookmarkStart w:id="25" w:name="sec25"/>
      <w:pPr>
        <w:pStyle w:val="Heading2"/>
        <w:spacing w:before="360" w:after="360"/>
        <w:jc w:val="left"/>
      </w:pPr>
      <w:r>
        <w:t>6.1 Procedimento de execução</w:t>
      </w:r>
      <w:bookmarkEnd w:id="25"/>
    </w:p>
    <w:p>
      <w:pPr>
        <w:spacing w:line="360" w:lineRule="auto" w:after="0"/>
        <w:ind w:firstLine="709"/>
        <w:jc w:val="both"/>
      </w:pPr>
      <w:r>
        <w:rPr>
          <w:rFonts w:ascii="Arial" w:hAnsi="Arial"/>
          <w:b w:val="0"/>
          <w:sz w:val="24"/>
        </w:rPr>
        <w:t>Escolher o caso, confirmar pré-condições, informar os dados, executar uma ação por vez e registrar o resultado observado. Capturas devem ocultar dados pessoais e credenciais. Ao encontrar divergência, registrar o passo exato, o comportamento esperado e o obtido. O resultado esperado deve continuar representando a regra do negócio.</w:t>
      </w:r>
    </w:p>
    <w:p>
      <w:bookmarkStart w:id="26" w:name="sec26"/>
      <w:pPr>
        <w:pStyle w:val="Heading2"/>
        <w:spacing w:before="360" w:after="360"/>
        <w:jc w:val="left"/>
      </w:pPr>
      <w:r>
        <w:t>6.2 Relação com a automação</w:t>
      </w:r>
      <w:bookmarkEnd w:id="26"/>
    </w:p>
    <w:p>
      <w:pPr>
        <w:spacing w:line="360" w:lineRule="auto" w:after="0"/>
        <w:ind w:firstLine="709"/>
        <w:jc w:val="both"/>
      </w:pPr>
      <w:r>
        <w:rPr>
          <w:rFonts w:ascii="Arial" w:hAnsi="Arial"/>
          <w:b w:val="0"/>
          <w:sz w:val="24"/>
        </w:rPr>
        <w:t>Os testes de navegador executam interações de interface e verificam saídas, oferecendo evidências de caixa preta automatizada. Eles não demonstram que uma pessoa percorreu manualmente todos os aparelhos. Os roteiros manuais abaixo permanecem planejados até existir execução identificada e evidência própria.</w:t>
      </w:r>
    </w:p>
    <w:p>
      <w:pPr>
        <w:spacing w:line="240" w:lineRule="auto" w:after="100"/>
        <w:ind w:firstLine="0"/>
        <w:jc w:val="center"/>
      </w:pPr>
      <w:r>
        <w:rPr>
          <w:rFonts w:ascii="Arial" w:hAnsi="Arial"/>
          <w:b w:val="0"/>
          <w:sz w:val="20"/>
        </w:rPr>
        <w:t>Quadro 3 — Roteiros manuais de homologação</w:t>
      </w:r>
    </w:p>
    <w:tbl>
      <w:tblPr>
        <w:tblW w:type="auto" w:w="0"/>
        <w:tblLayout w:type="fixed"/>
        <w:tblLook w:firstColumn="1" w:firstRow="1" w:lastColumn="0" w:lastRow="0" w:noHBand="0" w:noVBand="1" w:val="04A0"/>
      </w:tblPr>
      <w:tblGrid>
        <w:gridCol w:w="755"/>
        <w:gridCol w:w="1510"/>
        <w:gridCol w:w="2265"/>
        <w:gridCol w:w="3020"/>
        <w:gridCol w:w="1510"/>
      </w:tblGrid>
      <w:tr>
        <w:trPr>
          <w:tblHeader/>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ID</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Cenário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Pré condições</w:t>
            </w:r>
          </w:p>
        </w:tc>
        <w:tc>
          <w:tcPr>
            <w:tcW w:type="dxa" w:w="3020"/>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Resultado esperado</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Estado</w:t>
            </w:r>
          </w:p>
        </w:tc>
      </w:tr>
      <w:tr>
        <w:trPr>
          <w:cantSplit/>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TM01</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Primeiro uso sem assistência</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Pessoa sem conhecimento prévio; ambiente de homologação</w:t>
            </w:r>
          </w:p>
        </w:tc>
        <w:tc>
          <w:tcPr>
            <w:tcW w:type="dxa" w:w="302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Criar configuração, cadastrar serviço e agendar sem orientação técnica</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Planejado; sem execução manual registrada</w:t>
            </w:r>
          </w:p>
        </w:tc>
      </w:tr>
      <w:tr>
        <w:trPr>
          <w:cantSplit/>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TM02</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Dispositivos físicos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Android e iOS disponíveis; navegador identificado</w:t>
            </w:r>
          </w:p>
        </w:tc>
        <w:tc>
          <w:tcPr>
            <w:tcW w:type="dxa" w:w="302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Concluir cadastro e venda sem conteúdo inacessível ou teclado cobrindo ação</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Planejado; sem execução manual registrada</w:t>
            </w:r>
          </w:p>
        </w:tc>
      </w:tr>
      <w:tr>
        <w:trPr>
          <w:cantSplit/>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TM03</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Leitor de código de barras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Produto conhecido; câmera autorizada e iluminação variável</w:t>
            </w:r>
          </w:p>
        </w:tc>
        <w:tc>
          <w:tcPr>
            <w:tcW w:type="dxa" w:w="302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Localizar produto e utilizar alternativa manual quando necessário</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Planejado; sem execução manual registrada</w:t>
            </w:r>
          </w:p>
        </w:tc>
      </w:tr>
      <w:tr>
        <w:trPr>
          <w:cantSplit/>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TM04</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Leitor de tela</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Tecnologia assistiva identificada; conta de teste</w:t>
            </w:r>
          </w:p>
        </w:tc>
        <w:tc>
          <w:tcPr>
            <w:tcW w:type="dxa" w:w="302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Reconhecer campos, mensagens e foco ao abrir e fechar diálogos</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Planejado; sem execução manual registrada</w:t>
            </w:r>
          </w:p>
        </w:tc>
      </w:tr>
    </w:tbl>
    <w:p>
      <w:pPr>
        <w:sectPr>
          <w:headerReference w:type="default" r:id="rId115"/>
          <w:type w:val="nextPage"/>
          <w:footerReference w:type="default" r:id="rId49"/>
          <w:pgSz w:h="11906" w:w="16838" w:orient="landscape"/>
          <w:pgMar w:bottom="1134" w:top="1701" w:left="1701" w:right="1134" w:header="850" w:footer="567"/>
        </w:sectPr>
      </w:pPr>
    </w:p>
    <w:tbl>
      <w:tblPr>
        <w:tblW w:type="auto" w:w="0"/>
        <w:tblLayout w:type="fixed"/>
        <w:tblLook w:firstColumn="1" w:firstRow="1" w:lastColumn="0" w:lastRow="0" w:noHBand="0" w:noVBand="1" w:val="04A0"/>
      </w:tblPr>
      <w:tblGrid>
        <w:gridCol w:w="755"/>
        <w:gridCol w:w="1510"/>
        <w:gridCol w:w="2265"/>
        <w:gridCol w:w="3020"/>
        <w:gridCol w:w="1510"/>
      </w:tblGrid>
      <w:tr>
        <w:trPr>
          <w:tblHeader/>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ID</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Cenário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Pré condições</w:t>
            </w:r>
          </w:p>
        </w:tc>
        <w:tc>
          <w:tcPr>
            <w:tcW w:type="dxa" w:w="3020"/>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Resultado esperado</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Estado</w:t>
            </w:r>
          </w:p>
        </w:tc>
      </w:tr>
      <w:tr>
        <w:trPr>
          <w:cantSplit/>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TM05</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Impressão de documento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Documento com várias páginas; impressora ou PDF do navegador</w:t>
            </w:r>
          </w:p>
        </w:tc>
        <w:tc>
          <w:tcPr>
            <w:tcW w:type="dxa" w:w="302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Manter conteúdo legível, ordem e identificação da versão</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Planejado; sem execução manual registrada</w:t>
            </w:r>
          </w:p>
        </w:tc>
      </w:tr>
      <w:tr>
        <w:trPr>
          <w:cantSplit/>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TM06</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Aceitação pelo negócio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Responsável pelo estabelecimento; massa sintética representativa</w:t>
            </w:r>
          </w:p>
        </w:tc>
        <w:tc>
          <w:tcPr>
            <w:tcW w:type="dxa" w:w="302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Validar linguagem, permissões e rotina e registrar aceite ou pendências</w:t>
            </w:r>
          </w:p>
        </w:tc>
        <w:tc>
          <w:tcPr>
            <w:tcW w:type="dxa" w:w="1510"/>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Planejado; sem execução manual registrada</w:t>
            </w:r>
          </w:p>
        </w:tc>
      </w:tr>
    </w:tbl>
    <w:p>
      <w:pPr>
        <w:spacing w:line="240" w:lineRule="auto" w:after="160"/>
        <w:ind w:firstLine="0"/>
        <w:jc w:val="center"/>
      </w:pPr>
      <w:r>
        <w:rPr>
          <w:rFonts w:ascii="Arial" w:hAnsi="Arial"/>
          <w:b w:val="0"/>
          <w:sz w:val="20"/>
        </w:rPr>
        <w:t>Fonte: Elaborado pelos autores com base no código e nas evidências do Nexly (2026).</w:t>
      </w:r>
    </w:p>
    <w:p>
      <w:pPr>
        <w:sectPr>
          <w:headerReference w:type="default" r:id="rId116"/>
          <w:type w:val="nextPage"/>
          <w:footerReference w:type="default" r:id="rId51"/>
          <w:pgSz w:h="11906" w:w="16838" w:orient="landscape"/>
          <w:pgMar w:bottom="1134" w:top="1701" w:left="1701" w:right="1134" w:header="850" w:footer="567"/>
        </w:sectPr>
      </w:pPr>
    </w:p>
    <w:p>
      <w:bookmarkStart w:id="27" w:name="sec27"/>
      <w:pPr>
        <w:pStyle w:val="Heading1"/>
        <w:pageBreakBefore/>
        <w:spacing w:before="0" w:after="360"/>
        <w:jc w:val="left"/>
      </w:pPr>
      <w:r>
        <w:t>7 AUTOMAÇÃO COM JEST E PLAYWRIGHT</w:t>
      </w:r>
      <w:bookmarkEnd w:id="27"/>
    </w:p>
    <w:p>
      <w:bookmarkStart w:id="28" w:name="sec28"/>
      <w:pPr>
        <w:pStyle w:val="Heading2"/>
        <w:spacing w:before="360" w:after="360"/>
        <w:jc w:val="left"/>
      </w:pPr>
      <w:r>
        <w:t>7.1 Testes da API com Jest</w:t>
      </w:r>
      <w:bookmarkEnd w:id="28"/>
    </w:p>
    <w:p>
      <w:pPr>
        <w:spacing w:line="360" w:lineRule="auto" w:after="0"/>
        <w:ind w:firstLine="709"/>
        <w:jc w:val="both"/>
      </w:pPr>
      <w:r>
        <w:rPr>
          <w:rFonts w:ascii="Arial" w:hAnsi="Arial"/>
          <w:b w:val="0"/>
          <w:sz w:val="24"/>
        </w:rPr>
        <w:t>Comando base: npm run test --workspace @nexly/api -- --runInBand. Para regressões de comissões e pedidos: npm run test --workspace @nexly/api -- --runInBand comissao pedidos-compra. Executar no ambiente de teste configurado. Mocks permitem induzir respostas de dependências; os casos reais com PostgreSQL complementam essa análise.</w:t>
      </w:r>
    </w:p>
    <w:p>
      <w:bookmarkStart w:id="29" w:name="sec29"/>
      <w:pPr>
        <w:pStyle w:val="Heading2"/>
        <w:spacing w:before="360" w:after="360"/>
        <w:jc w:val="left"/>
      </w:pPr>
      <w:r>
        <w:t>7.2 Testes de navegador com Playwright</w:t>
      </w:r>
      <w:bookmarkEnd w:id="29"/>
    </w:p>
    <w:p>
      <w:pPr>
        <w:spacing w:line="360" w:lineRule="auto" w:after="0"/>
        <w:ind w:firstLine="709"/>
        <w:jc w:val="both"/>
      </w:pPr>
      <w:r>
        <w:rPr>
          <w:rFonts w:ascii="Arial" w:hAnsi="Arial"/>
          <w:b w:val="0"/>
          <w:sz w:val="24"/>
        </w:rPr>
        <w:t>Comando base: npm run e2e -- --workers=1. Para selecionar casos, acrescentar os caminhos dos arquivos da suíte. O arquivo playwright.config.ts define baseURL, navegador, tempos e evidências. Na revisão local, o helper docs/run-local-tests.cjs carregou a configuração de ambiente local; esse utilitário privado não é uma dependência pública do produto.</w:t>
      </w:r>
    </w:p>
    <w:p>
      <w:bookmarkStart w:id="30" w:name="sec30"/>
      <w:pPr>
        <w:pStyle w:val="Heading2"/>
        <w:spacing w:before="360" w:after="360"/>
        <w:jc w:val="left"/>
      </w:pPr>
      <w:r>
        <w:t>7.3 Validações complementares</w:t>
      </w:r>
      <w:bookmarkEnd w:id="30"/>
    </w:p>
    <w:p>
      <w:pPr>
        <w:spacing w:line="360" w:lineRule="auto" w:after="0"/>
        <w:ind w:firstLine="709"/>
        <w:jc w:val="both"/>
      </w:pPr>
      <w:r>
        <w:rPr>
          <w:rFonts w:ascii="Arial" w:hAnsi="Arial"/>
          <w:b w:val="0"/>
          <w:sz w:val="24"/>
        </w:rPr>
        <w:t>Executar lint e typecheck dos pacotes alterados e build quando o escopo exigir verificar a distribuição. Esses resultados devem ser apresentados separadamente dos testes funcionais. Cada verificação responde a uma pergunta diferente: tipos e lint avaliam o código; testes funcionais conferem regras; integrações externas precisam de ambiente configurado.</w:t>
      </w:r>
    </w:p>
    <w:p>
      <w:bookmarkStart w:id="31" w:name="sec31"/>
      <w:pPr>
        <w:pStyle w:val="Heading2"/>
        <w:spacing w:before="360" w:after="360"/>
        <w:jc w:val="left"/>
      </w:pPr>
      <w:r>
        <w:t>7.4 Evidências de falha</w:t>
      </w:r>
      <w:bookmarkEnd w:id="31"/>
    </w:p>
    <w:p>
      <w:pPr>
        <w:spacing w:line="360" w:lineRule="auto" w:after="0"/>
        <w:ind w:firstLine="709"/>
        <w:jc w:val="both"/>
      </w:pPr>
      <w:r>
        <w:rPr>
          <w:rFonts w:ascii="Arial" w:hAnsi="Arial"/>
          <w:b w:val="0"/>
          <w:sz w:val="24"/>
        </w:rPr>
        <w:t>Playwright gera captura e trace em falhas conforme a configuração. Trace é um registro de ações e comunicação que ajuda a identificar o ponto de interrupção. Essas evidências podem conter dados de sessão e devem permanecer restritas. O relatório acadêmico utiliza descrições e capturas selecionadas, sem expor tokens, senhas ou conexões reais.</w:t>
      </w:r>
    </w:p>
    <w:p>
      <w:pPr>
        <w:sectPr>
          <w:headerReference w:type="default" r:id="rId117"/>
          <w:type w:val="nextPage"/>
          <w:footerReference w:type="default" r:id="rId53"/>
          <w:pgSz w:h="11906" w:w="16838" w:orient="landscape"/>
          <w:pgMar w:bottom="1134" w:top="1701" w:left="1701" w:right="1134" w:header="850" w:footer="567"/>
        </w:sectPr>
      </w:pPr>
    </w:p>
    <w:p>
      <w:bookmarkStart w:id="32" w:name="sec32"/>
      <w:pPr>
        <w:pStyle w:val="Heading1"/>
        <w:pageBreakBefore/>
        <w:spacing w:before="0" w:after="360"/>
        <w:jc w:val="left"/>
      </w:pPr>
      <w:r>
        <w:t>8 DEFEITOS IDENTIFICADOS E CORREÇÕES APLICADAS</w:t>
      </w:r>
      <w:bookmarkEnd w:id="32"/>
    </w:p>
    <w:p>
      <w:bookmarkStart w:id="33" w:name="sec33"/>
      <w:pPr>
        <w:pStyle w:val="Heading2"/>
        <w:spacing w:before="360" w:after="360"/>
        <w:jc w:val="left"/>
      </w:pPr>
      <w:r>
        <w:t>8.1 Comissões e limites do período</w:t>
      </w:r>
      <w:bookmarkEnd w:id="33"/>
    </w:p>
    <w:p>
      <w:pPr>
        <w:spacing w:line="360" w:lineRule="auto" w:after="0"/>
        <w:ind w:firstLine="709"/>
        <w:jc w:val="both"/>
      </w:pPr>
      <w:r>
        <w:rPr>
          <w:rFonts w:ascii="Arial" w:hAnsi="Arial"/>
          <w:b w:val="0"/>
          <w:sz w:val="24"/>
        </w:rPr>
        <w:t>Problema: consultas que utilizavam o término à meia-noite podiam excluir atendimentos do último dia. Correção: validação do período e transporte de limites explícitos com fuso na interface. Verificação: regressão unitária e cenário com atendimento às 23h30 de São Paulo, faturamento de R$ 120,00 e comissão de R$ 30,00.</w:t>
      </w:r>
    </w:p>
    <w:p>
      <w:bookmarkStart w:id="34" w:name="sec34"/>
      <w:pPr>
        <w:pStyle w:val="Heading2"/>
        <w:spacing w:before="360" w:after="360"/>
        <w:jc w:val="left"/>
      </w:pPr>
      <w:r>
        <w:t>8.2 Edição de pedido e concorrência</w:t>
      </w:r>
      <w:bookmarkEnd w:id="34"/>
    </w:p>
    <w:p>
      <w:pPr>
        <w:spacing w:line="360" w:lineRule="auto" w:after="0"/>
        <w:ind w:firstLine="709"/>
        <w:jc w:val="both"/>
      </w:pPr>
      <w:r>
        <w:rPr>
          <w:rFonts w:ascii="Arial" w:hAnsi="Arial"/>
          <w:b w:val="0"/>
          <w:sz w:val="24"/>
        </w:rPr>
        <w:t>Problema: remover itens fora de uma transação podia deixar o pedido incompleto se a gravação seguinte falhasse; mudanças simultâneas podiam contrariar o estado atual. Correção: edição em transação e operações condicionadas ao status e empresa. Verificação: testes unitários, rollback com PostgreSQL e disputas receber versus cancelar.</w:t>
      </w:r>
    </w:p>
    <w:p>
      <w:bookmarkStart w:id="35" w:name="sec35"/>
      <w:pPr>
        <w:pStyle w:val="Heading2"/>
        <w:spacing w:before="360" w:after="360"/>
        <w:jc w:val="left"/>
      </w:pPr>
      <w:r>
        <w:t>8.3 Falhas apresentadas como listas vazias</w:t>
      </w:r>
      <w:bookmarkEnd w:id="35"/>
    </w:p>
    <w:p>
      <w:pPr>
        <w:spacing w:line="360" w:lineRule="auto" w:after="0"/>
        <w:ind w:firstLine="709"/>
        <w:jc w:val="both"/>
      </w:pPr>
      <w:r>
        <w:rPr>
          <w:rFonts w:ascii="Arial" w:hAnsi="Arial"/>
          <w:b w:val="0"/>
          <w:sz w:val="24"/>
        </w:rPr>
        <w:t>Problema: uma consulta malsucedida podia apresentar ausência de registros. Correção: estados independentes de carregamento, erro e conteúdo, com tentativa de recuperação. Verificação: respostas 503 controladas em fidelidade e compras e falha dos cadastros auxiliares enquanto a lista principal terminava de carregar.</w:t>
      </w:r>
    </w:p>
    <w:p>
      <w:bookmarkStart w:id="36" w:name="sec36"/>
      <w:pPr>
        <w:pStyle w:val="Heading2"/>
        <w:spacing w:before="360" w:after="360"/>
        <w:jc w:val="left"/>
      </w:pPr>
      <w:r>
        <w:t>8.4 Respostas antigas e perda de edição</w:t>
      </w:r>
      <w:bookmarkEnd w:id="36"/>
    </w:p>
    <w:p>
      <w:pPr>
        <w:spacing w:line="360" w:lineRule="auto" w:after="0"/>
        <w:ind w:firstLine="709"/>
        <w:jc w:val="both"/>
      </w:pPr>
      <w:r>
        <w:rPr>
          <w:rFonts w:ascii="Arial" w:hAnsi="Arial"/>
          <w:b w:val="0"/>
          <w:sz w:val="24"/>
        </w:rPr>
        <w:t>Problema: consultas antigas podiam substituir o período atual, e fechar um formulário alterado podia descartar dados sem decisão explícita. Correção: cancelamento ou versionamento de consultas e EditorModal com confirmação. Verificação: resposta antiga retida, alteração do filtro e manutenção da resposta atual; edição preservada ao escolher Continuar editando.</w:t>
      </w:r>
    </w:p>
    <w:p>
      <w:pPr>
        <w:sectPr>
          <w:headerReference w:type="default" r:id="rId118"/>
          <w:type w:val="nextPage"/>
          <w:footerReference w:type="default" r:id="rId55"/>
          <w:pgSz w:h="11906" w:w="16838" w:orient="landscape"/>
          <w:pgMar w:bottom="1134" w:top="1701" w:left="1701" w:right="1134" w:header="850" w:footer="567"/>
        </w:sectPr>
      </w:pPr>
    </w:p>
    <w:p>
      <w:bookmarkStart w:id="37" w:name="sec37"/>
      <w:pPr>
        <w:pStyle w:val="Heading2"/>
        <w:spacing w:before="0" w:after="360"/>
        <w:jc w:val="left"/>
      </w:pPr>
      <w:r>
        <w:t>8.5 Última página após exclusão</w:t>
      </w:r>
      <w:bookmarkEnd w:id="37"/>
    </w:p>
    <w:p>
      <w:pPr>
        <w:spacing w:line="360" w:lineRule="auto" w:after="0"/>
        <w:ind w:firstLine="709"/>
        <w:jc w:val="both"/>
      </w:pPr>
      <w:r>
        <w:rPr>
          <w:rFonts w:ascii="Arial" w:hAnsi="Arial"/>
          <w:b w:val="0"/>
          <w:sz w:val="24"/>
        </w:rPr>
        <w:t>Problema: excluir o último registro de uma página poderia manter a pessoa em uma página sem conteúdo, apesar de existirem registros anteriores. Correção: recalcular a última página a partir do total retornado. Verificação: lista com 51 registros, exclusão do item da página 2 e retorno à página 1 com total 50.</w:t>
      </w:r>
    </w:p>
    <w:p>
      <w:bookmarkStart w:id="38" w:name="sec38"/>
      <w:pPr>
        <w:pStyle w:val="Heading2"/>
        <w:spacing w:before="360" w:after="360"/>
        <w:jc w:val="left"/>
      </w:pPr>
      <w:r>
        <w:t>8.6 Ocorrências do ambiente e dos testes</w:t>
      </w:r>
      <w:bookmarkEnd w:id="38"/>
    </w:p>
    <w:p>
      <w:pPr>
        <w:spacing w:line="360" w:lineRule="auto" w:after="0"/>
        <w:ind w:firstLine="709"/>
        <w:jc w:val="both"/>
      </w:pPr>
      <w:r>
        <w:rPr>
          <w:rFonts w:ascii="Arial" w:hAnsi="Arial"/>
          <w:b w:val="0"/>
          <w:sz w:val="24"/>
        </w:rPr>
        <w:t>Houve execução interrompida por demora e restrição de memória local. A preparação passou a usar a versão compilada do frontend. Na rodada comercial, um teste precisava aguardar o painel antes do atalho, e outro precisava selecionar o título de nível 2 de Minha conta para não coincidir com o cabeçalho transitório. As correções de teste foram seguidas de nova execução; não foram contabilizadas como novas funcionalidades do produto.</w:t>
      </w:r>
    </w:p>
    <w:p>
      <w:pPr>
        <w:sectPr>
          <w:headerReference w:type="default" r:id="rId119"/>
          <w:type w:val="nextPage"/>
          <w:footerReference w:type="default" r:id="rId57"/>
          <w:pgSz w:h="11906" w:w="16838" w:orient="landscape"/>
          <w:pgMar w:bottom="1134" w:top="1701" w:left="1701" w:right="1134" w:header="850" w:footer="567"/>
        </w:sectPr>
      </w:pPr>
    </w:p>
    <w:p>
      <w:bookmarkStart w:id="39" w:name="sec39"/>
      <w:pPr>
        <w:pStyle w:val="Heading1"/>
        <w:pageBreakBefore/>
        <w:spacing w:before="0" w:after="360"/>
        <w:jc w:val="left"/>
      </w:pPr>
      <w:r>
        <w:t>9 REEXECUÇÃO E ANÁLISE DOS RESULTADOS</w:t>
      </w:r>
      <w:bookmarkEnd w:id="39"/>
    </w:p>
    <w:p>
      <w:bookmarkStart w:id="40" w:name="sec40"/>
      <w:pPr>
        <w:pStyle w:val="Heading2"/>
        <w:spacing w:before="360" w:after="360"/>
        <w:jc w:val="left"/>
      </w:pPr>
      <w:r>
        <w:t>9.1 Execuções registradas</w:t>
      </w:r>
      <w:bookmarkEnd w:id="40"/>
    </w:p>
    <w:p>
      <w:pPr>
        <w:spacing w:line="360" w:lineRule="auto" w:after="0"/>
        <w:ind w:firstLine="709"/>
        <w:jc w:val="both"/>
      </w:pPr>
      <w:r>
        <w:rPr>
          <w:rFonts w:ascii="Arial" w:hAnsi="Arial"/>
          <w:b w:val="0"/>
          <w:sz w:val="24"/>
        </w:rPr>
        <w:t>O quadro de evidências apresenta cada rodada e seu escopo. A campanha completa de 42 testes foi executada antes da entrega de busca e proteção de rascunhos. A campanha seguinte selecionou regressões afetadas pelos componentes compartilhados. O resultado inicial de 12 aprovados e uma falha de seletor foi mantido no registro e complementado pela reexecução aprovada do cenário de conta.</w:t>
      </w:r>
    </w:p>
    <w:p>
      <w:pPr>
        <w:spacing w:line="240" w:lineRule="auto" w:after="100"/>
        <w:ind w:firstLine="0"/>
        <w:jc w:val="center"/>
      </w:pPr>
      <w:r>
        <w:rPr>
          <w:rFonts w:ascii="Arial" w:hAnsi="Arial"/>
          <w:b w:val="0"/>
          <w:sz w:val="20"/>
        </w:rPr>
        <w:t>Quadro 4 — Execuções e registros disponíveis</w:t>
      </w:r>
    </w:p>
    <w:tbl>
      <w:tblPr>
        <w:tblW w:type="auto" w:w="0"/>
        <w:tblLayout w:type="fixed"/>
        <w:tblLook w:firstColumn="1" w:firstRow="1" w:lastColumn="0" w:lastRow="0" w:noHBand="0" w:noVBand="1" w:val="04A0"/>
      </w:tblPr>
      <w:tblGrid>
        <w:gridCol w:w="755"/>
        <w:gridCol w:w="2265"/>
        <w:gridCol w:w="2265"/>
        <w:gridCol w:w="3775"/>
      </w:tblGrid>
      <w:tr>
        <w:trPr>
          <w:tblHeader/>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ID</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Escopo</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Resultado</w:t>
            </w:r>
          </w:p>
        </w:tc>
        <w:tc>
          <w:tcPr>
            <w:tcW w:type="dxa" w:w="3775"/>
            <w:tcBorders>
              <w:top w:val="single" w:sz="4" w:color="B0B0B0"/>
              <w:left w:val="single" w:sz="4" w:color="B0B0B0"/>
              <w:bottom w:val="single" w:sz="4" w:color="B0B0B0"/>
              <w:right w:val="single" w:sz="4" w:color="B0B0B0"/>
            </w:tcBorders>
            <w:tcMar>
              <w:top w:w="70" w:type="dxa"/>
              <w:bottom w:w="70" w:type="dxa"/>
              <w:left w:w="70" w:type="dxa"/>
              <w:right w:w="70" w:type="dxa"/>
            </w:tcMar>
            <w:shd w:fill="E8E8E8"/>
          </w:tcPr>
          <w:p>
            <w:pPr>
              <w:spacing w:line="240" w:lineRule="auto" w:after="60"/>
              <w:ind w:firstLine="0"/>
              <w:jc w:val="left"/>
            </w:pPr>
            <w:r>
              <w:rPr>
                <w:rFonts w:ascii="Arial" w:hAnsi="Arial"/>
                <w:b/>
                <w:sz w:val="20"/>
              </w:rPr>
              <w:t>Registro</w:t>
            </w:r>
          </w:p>
        </w:tc>
      </w:tr>
      <w:tr>
        <w:trPr>
          <w:cantSplit/>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E01</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Base da API antes das últimas regressões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40 suítes e 381 testes aprovados</w:t>
            </w:r>
          </w:p>
        </w:tc>
        <w:tc>
          <w:tcPr>
            <w:tcW w:type="dxa" w:w="377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docs/revisao-todas-paginas-api-base.log</w:t>
            </w:r>
          </w:p>
        </w:tc>
      </w:tr>
      <w:tr>
        <w:trPr>
          <w:cantSplit/>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E02</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Regressão de pedidos e comissões</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2 suítes e 15 testes aprovados</w:t>
            </w:r>
          </w:p>
        </w:tc>
        <w:tc>
          <w:tcPr>
            <w:tcW w:type="dxa" w:w="377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docs/revisao-api-regressoes-final.log</w:t>
            </w:r>
          </w:p>
        </w:tc>
      </w:tr>
      <w:tr>
        <w:trPr>
          <w:cantSplit/>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E03</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Navegador completo da rodada 594f404</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42 testes aprovados em 5,6 min</w:t>
            </w:r>
          </w:p>
        </w:tc>
        <w:tc>
          <w:tcPr>
            <w:tcW w:type="dxa" w:w="377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docs/revisao-e2e-producao-local.log</w:t>
            </w:r>
          </w:p>
        </w:tc>
      </w:tr>
      <w:tr>
        <w:trPr>
          <w:cantSplit/>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E04</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Novos cenários da rodada comercial</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2 testes aprovados em 8,9 s</w:t>
            </w:r>
          </w:p>
        </w:tc>
        <w:tc>
          <w:tcPr>
            <w:tcW w:type="dxa" w:w="377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docs/comercial-e2e-final.log</w:t>
            </w:r>
          </w:p>
        </w:tc>
      </w:tr>
      <w:tr>
        <w:trPr>
          <w:cantSplit/>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E05</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Regressões da rodada comercial</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12 aprovados e 1 falha de seletor</w:t>
            </w:r>
          </w:p>
        </w:tc>
        <w:tc>
          <w:tcPr>
            <w:tcW w:type="dxa" w:w="377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docs/comercial-regressoes.log</w:t>
            </w:r>
          </w:p>
        </w:tc>
      </w:tr>
      <w:tr>
        <w:trPr>
          <w:cantSplit/>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E06</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Conta após ajuste e restrição da busca</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1 aprovado em 7,0 s</w:t>
            </w:r>
          </w:p>
        </w:tc>
        <w:tc>
          <w:tcPr>
            <w:tcW w:type="dxa" w:w="377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docs/comercial-conta-final.log</w:t>
            </w:r>
          </w:p>
        </w:tc>
      </w:tr>
      <w:tr>
        <w:trPr>
          <w:cantSplit/>
        </w:trPr>
        <w:tc>
          <w:tcPr>
            <w:tcW w:type="dxa" w:w="75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E07</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Atomicidade de compras em PostgreSQL</w:t>
            </w:r>
          </w:p>
        </w:tc>
        <w:tc>
          <w:tcPr>
            <w:tcW w:type="dxa" w:w="226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Rollback, edição e oito disputas verificadas</w:t>
            </w:r>
          </w:p>
        </w:tc>
        <w:tc>
          <w:tcPr>
            <w:tcW w:type="dxa" w:w="3775"/>
            <w:tcBorders>
              <w:top w:val="single" w:sz="4" w:color="B0B0B0"/>
              <w:left w:val="single" w:sz="4" w:color="B0B0B0"/>
              <w:bottom w:val="single" w:sz="4" w:color="B0B0B0"/>
              <w:right w:val="single" w:sz="4" w:color="B0B0B0"/>
            </w:tcBorders>
            <w:tcMar>
              <w:top w:w="70" w:type="dxa"/>
              <w:bottom w:w="70" w:type="dxa"/>
              <w:left w:w="70" w:type="dxa"/>
              <w:right w:w="70" w:type="dxa"/>
            </w:tcMar>
          </w:tcPr>
          <w:p>
            <w:pPr>
              <w:spacing w:line="240" w:lineRule="auto" w:after="60"/>
              <w:ind w:firstLine="0"/>
              <w:jc w:val="left"/>
            </w:pPr>
            <w:r>
              <w:rPr>
                <w:rFonts w:ascii="Arial" w:hAnsi="Arial"/>
                <w:b w:val="0"/>
                <w:sz w:val="20"/>
              </w:rPr>
              <w:t>docs/verify-purchase-atomicity.cjs; registro de execução na revisão local</w:t>
            </w:r>
          </w:p>
        </w:tc>
      </w:tr>
    </w:tbl>
    <w:p>
      <w:pPr>
        <w:spacing w:line="240" w:lineRule="auto" w:after="160"/>
        <w:ind w:firstLine="0"/>
        <w:jc w:val="center"/>
      </w:pPr>
      <w:r>
        <w:rPr>
          <w:rFonts w:ascii="Arial" w:hAnsi="Arial"/>
          <w:b w:val="0"/>
          <w:sz w:val="20"/>
        </w:rPr>
        <w:t>Fonte: Elaborado pelos autores com base no código e nas evidências do Nexly (2026).</w:t>
      </w:r>
    </w:p>
    <w:p>
      <w:pPr>
        <w:sectPr>
          <w:headerReference w:type="default" r:id="rId120"/>
          <w:type w:val="nextPage"/>
          <w:footerReference w:type="default" r:id="rId59"/>
          <w:pgSz w:h="11906" w:w="16838" w:orient="landscape"/>
          <w:pgMar w:bottom="1134" w:top="1701" w:left="1701" w:right="1134" w:header="850" w:footer="567"/>
        </w:sectPr>
      </w:pPr>
    </w:p>
    <w:p>
      <w:bookmarkStart w:id="41" w:name="sec41"/>
      <w:pPr>
        <w:pStyle w:val="Heading2"/>
        <w:spacing w:before="0" w:after="360"/>
        <w:jc w:val="left"/>
      </w:pPr>
      <w:r>
        <w:t>9.2 Interpretação dos totais</w:t>
      </w:r>
      <w:bookmarkEnd w:id="41"/>
    </w:p>
    <w:p>
      <w:pPr>
        <w:spacing w:line="360" w:lineRule="auto" w:after="0"/>
        <w:ind w:firstLine="709"/>
        <w:jc w:val="both"/>
      </w:pPr>
      <w:r>
        <w:rPr>
          <w:rFonts w:ascii="Arial" w:hAnsi="Arial"/>
          <w:b w:val="0"/>
          <w:sz w:val="24"/>
        </w:rPr>
        <w:t>Os totais são apresentados por campanha, preservando o escopo de cada execução. Os 15 cenários selecionados da entrega comercial correspondem a dois novos, 12 regressões aprovadas e um caso de conta revalidado. Os 381 testes da API representam uma execução de base anterior; os 15 de regressão verificam alterações específicas posteriores.</w:t>
      </w:r>
    </w:p>
    <w:p>
      <w:bookmarkStart w:id="42" w:name="sec42"/>
      <w:pPr>
        <w:pStyle w:val="Heading2"/>
        <w:spacing w:before="360" w:after="360"/>
        <w:jc w:val="left"/>
      </w:pPr>
      <w:r>
        <w:t>9.3 Critérios de avaliação final</w:t>
      </w:r>
      <w:bookmarkEnd w:id="42"/>
    </w:p>
    <w:p>
      <w:pPr>
        <w:spacing w:line="360" w:lineRule="auto" w:after="0"/>
        <w:ind w:firstLine="709"/>
        <w:jc w:val="both"/>
      </w:pPr>
      <w:r>
        <w:rPr>
          <w:rFonts w:ascii="Arial" w:hAnsi="Arial"/>
          <w:b w:val="0"/>
          <w:sz w:val="24"/>
        </w:rPr>
        <w:t>As evidências sustentam os cenários descritos e não uma garantia de ausência de defeitos. A liberação comercial depende de configuração externa, backup, monitoramento, políticas e homologação de fluxos com usuários. Entrega real de mensagens e resultados dos jobs remotos precisam de evidências próprias.</w:t>
      </w:r>
    </w:p>
    <w:p>
      <w:pPr>
        <w:sectPr>
          <w:headerReference w:type="default" r:id="rId121"/>
          <w:type w:val="nextPage"/>
          <w:footerReference w:type="default" r:id="rId61"/>
          <w:pgSz w:h="11906" w:w="16838" w:orient="landscape"/>
          <w:pgMar w:bottom="1134" w:top="1701" w:left="1701" w:right="1134" w:header="850" w:footer="567"/>
        </w:sectPr>
      </w:pPr>
    </w:p>
    <w:p>
      <w:bookmarkStart w:id="43" w:name="sec43"/>
      <w:pPr>
        <w:pStyle w:val="Heading1"/>
        <w:pageBreakBefore/>
        <w:spacing w:before="0" w:after="360"/>
        <w:jc w:val="left"/>
      </w:pPr>
      <w:r>
        <w:t>10 PLANO DE EVOLUÇÃO DA QUALIDADE</w:t>
      </w:r>
      <w:bookmarkEnd w:id="43"/>
    </w:p>
    <w:p>
      <w:bookmarkStart w:id="44" w:name="sec44"/>
      <w:pPr>
        <w:pStyle w:val="Heading2"/>
        <w:spacing w:before="360" w:after="360"/>
        <w:jc w:val="left"/>
      </w:pPr>
      <w:r>
        <w:t>10.1 Próximas campanhas</w:t>
      </w:r>
      <w:bookmarkEnd w:id="44"/>
    </w:p>
    <w:p>
      <w:pPr>
        <w:spacing w:line="360" w:lineRule="auto" w:after="0"/>
        <w:ind w:firstLine="709"/>
        <w:jc w:val="both"/>
      </w:pPr>
      <w:r>
        <w:rPr>
          <w:rFonts w:ascii="Arial" w:hAnsi="Arial"/>
          <w:b w:val="0"/>
          <w:sz w:val="24"/>
        </w:rPr>
        <w:t>Priorizar recuperação por e-mail com provedor de teste, restauração de backup externo em destino isolado, entrega e reconciliação de mensagens, testes de carga com metas definidas e avaliação de acessibilidade com tecnologias assistivas. Novos módulos financeiros exigirão casos para arredondamento, pagamentos parciais, custos históricos e estornos antes de uma promessa comercial correspondente.</w:t>
      </w:r>
    </w:p>
    <w:p>
      <w:bookmarkStart w:id="45" w:name="sec45"/>
      <w:pPr>
        <w:pStyle w:val="Heading2"/>
        <w:spacing w:before="360" w:after="360"/>
        <w:jc w:val="left"/>
      </w:pPr>
      <w:r>
        <w:t>10.2 Registro e tratamento de novos defeitos</w:t>
      </w:r>
      <w:bookmarkEnd w:id="45"/>
    </w:p>
    <w:p>
      <w:pPr>
        <w:spacing w:line="360" w:lineRule="auto" w:after="0"/>
        <w:ind w:firstLine="709"/>
        <w:jc w:val="both"/>
      </w:pPr>
      <w:r>
        <w:rPr>
          <w:rFonts w:ascii="Arial" w:hAnsi="Arial"/>
          <w:b w:val="0"/>
          <w:sz w:val="24"/>
        </w:rPr>
        <w:t>Cada defeito deve registrar identificador, módulo, gravidade, revisão, ambiente, passos, esperado, obtido, evidência e responsável pela correção. A reexecução deve guardar nova evidência sem apagar a ocorrência inicial. Uma captura de erro sem contexto não é suficiente para concluir sua causa.</w:t>
      </w:r>
    </w:p>
    <w:p>
      <w:bookmarkStart w:id="46" w:name="sec46"/>
      <w:pPr>
        <w:pStyle w:val="Heading2"/>
        <w:spacing w:before="360" w:after="360"/>
        <w:jc w:val="left"/>
      </w:pPr>
      <w:r>
        <w:t>10.3 Manutenção deste plano</w:t>
      </w:r>
      <w:bookmarkEnd w:id="46"/>
    </w:p>
    <w:p>
      <w:pPr>
        <w:spacing w:line="360" w:lineRule="auto" w:after="0"/>
        <w:ind w:firstLine="709"/>
        <w:jc w:val="both"/>
      </w:pPr>
      <w:r>
        <w:rPr>
          <w:rFonts w:ascii="Arial" w:hAnsi="Arial"/>
          <w:b w:val="0"/>
          <w:sz w:val="24"/>
        </w:rPr>
        <w:t>Atualizar a matriz quando uma regra mudar, um módulo for ampliado ou uma integração for ativada. Preservar os resultados históricos e identificar a revisão correspondente. Os apêndices de inventário ajudam a localizar testes e serviços, mas não substituem a execução e a análise dos resultados.</w:t>
      </w:r>
    </w:p>
    <w:p>
      <w:pPr>
        <w:sectPr>
          <w:headerReference w:type="default" r:id="rId122"/>
          <w:type w:val="nextPage"/>
          <w:footerReference w:type="default" r:id="rId63"/>
          <w:pgSz w:h="11906" w:w="16838" w:orient="landscape"/>
          <w:pgMar w:bottom="1134" w:top="1701" w:left="1701" w:right="1134" w:header="850" w:footer="567"/>
        </w:sectPr>
      </w:pPr>
    </w:p>
    <w:p>
      <w:bookmarkStart w:id="47" w:name="sec47"/>
      <w:pPr>
        <w:pStyle w:val="Heading1"/>
        <w:pageBreakBefore/>
        <w:spacing w:before="0" w:after="360"/>
        <w:jc w:val="center"/>
      </w:pPr>
      <w:r>
        <w:t>REFERÊNCIAS</w:t>
      </w:r>
      <w:bookmarkEnd w:id="47"/>
    </w:p>
    <w:p>
      <w:pPr>
        <w:spacing w:line="240" w:lineRule="auto" w:after="240"/>
        <w:ind w:firstLine="0"/>
        <w:jc w:val="left"/>
      </w:pPr>
      <w:r>
        <w:t xml:space="preserve">BRASIL. </w:t>
      </w:r>
      <w:r>
        <w:rPr>
          <w:b/>
        </w:rPr>
        <w:t>Lei nº 13.709, de 14 de agosto de 2018</w:t>
      </w:r>
      <w:r>
        <w:t>. Lei Geral de Proteção de Dados Pessoais. Brasília, DF: Presidência da República, 2018. Disponível em: https://www.planalto.gov.br/ccivil_03/_ato2015-2018/2018/lei/l13709.htm. Acesso em: 18 out. 2026.</w:t>
      </w:r>
    </w:p>
    <w:p>
      <w:pPr>
        <w:spacing w:line="240" w:lineRule="auto" w:after="240"/>
        <w:ind w:firstLine="0"/>
        <w:jc w:val="left"/>
      </w:pPr>
      <w:r>
        <w:t xml:space="preserve">MICROSOFT. </w:t>
      </w:r>
      <w:r>
        <w:rPr>
          <w:b/>
        </w:rPr>
        <w:t>Playwright documentation</w:t>
      </w:r>
      <w:r>
        <w:t>. [S. l.]: Microsoft, [s. d.]. Disponível em: https://playwright.dev/docs/intro. Acesso em: 18 out. 2026.</w:t>
      </w:r>
    </w:p>
    <w:p>
      <w:pPr>
        <w:spacing w:line="240" w:lineRule="auto" w:after="240"/>
        <w:ind w:firstLine="0"/>
        <w:jc w:val="left"/>
      </w:pPr>
      <w:r>
        <w:t xml:space="preserve">NESTJS. </w:t>
      </w:r>
      <w:r>
        <w:rPr>
          <w:b/>
        </w:rPr>
        <w:t>Documentation</w:t>
      </w:r>
      <w:r>
        <w:t>. [S. l.]: NestJS, [s. d.]. Disponível em: https://docs.nestjs.com/. Acesso em: 18 out. 2026.</w:t>
      </w:r>
    </w:p>
    <w:p>
      <w:pPr>
        <w:spacing w:line="240" w:lineRule="auto" w:after="240"/>
        <w:ind w:firstLine="0"/>
        <w:jc w:val="left"/>
      </w:pPr>
      <w:r>
        <w:t>NEXLY. Código fonte e configurações do projeto Nexly. Revisão documental de 23 de outubro de 2026. GitHub, 2026. Disponível em: https://github.com/Breno-J-Oliveira/Nexly. Acesso em: 18 out. 2026.</w:t>
      </w:r>
    </w:p>
    <w:p>
      <w:pPr>
        <w:spacing w:line="240" w:lineRule="auto" w:after="240"/>
        <w:ind w:firstLine="0"/>
        <w:jc w:val="left"/>
      </w:pPr>
      <w:r>
        <w:t xml:space="preserve">OPENJS FOUNDATION. </w:t>
      </w:r>
      <w:r>
        <w:rPr>
          <w:b/>
        </w:rPr>
        <w:t>Jest getting started</w:t>
      </w:r>
      <w:r>
        <w:t>. [S. l.]: OpenJS Foundation, [s. d.]. Disponível em: https://jestjs.io/docs/getting-started. Acesso em: 18 out. 2026.</w:t>
      </w:r>
    </w:p>
    <w:p>
      <w:pPr>
        <w:spacing w:line="240" w:lineRule="auto" w:after="240"/>
        <w:ind w:firstLine="0"/>
        <w:jc w:val="left"/>
      </w:pPr>
      <w:r>
        <w:t xml:space="preserve">OWASP FOUNDATION. </w:t>
      </w:r>
      <w:r>
        <w:rPr>
          <w:b/>
        </w:rPr>
        <w:t>Password storage cheat sheet</w:t>
      </w:r>
      <w:r>
        <w:t>. [S. l.]: OWASP Foundation, [s. d.]. Disponível em: https://cheatsheetseries.owasp.org/cheatsheets/Password_Storage_Cheat_Sheet.html. Acesso em: 18 out. 2026.</w:t>
      </w:r>
    </w:p>
    <w:p>
      <w:pPr>
        <w:spacing w:line="240" w:lineRule="auto" w:after="240"/>
        <w:ind w:firstLine="0"/>
        <w:jc w:val="left"/>
      </w:pPr>
      <w:r>
        <w:t xml:space="preserve">POSTGRESQL GLOBAL DEVELOPMENT GROUP. </w:t>
      </w:r>
      <w:r>
        <w:rPr>
          <w:b/>
        </w:rPr>
        <w:t>Row security policies</w:t>
      </w:r>
      <w:r>
        <w:t>. [S. l.]: PostgreSQL Global Development Group, [s. d.]. Disponível em: https://www.postgresql.org/docs/current/ddl-rowsecurity.html. Acesso em: 18 out. 2026.</w:t>
      </w:r>
    </w:p>
    <w:p>
      <w:pPr>
        <w:spacing w:line="240" w:lineRule="auto" w:after="240"/>
        <w:ind w:firstLine="0"/>
        <w:jc w:val="left"/>
      </w:pPr>
      <w:r>
        <w:t xml:space="preserve">PRISMA. </w:t>
      </w:r>
      <w:r>
        <w:rPr>
          <w:b/>
        </w:rPr>
        <w:t>What is Prisma ORM</w:t>
      </w:r>
      <w:r>
        <w:t>. [S. l.]: Prisma, [s. d.]. Disponível em: https://www.prisma.io/docs/orm/overview/introduction/what-is-prisma. Acesso em: 18 out. 2026.</w:t>
      </w:r>
    </w:p>
    <w:p>
      <w:pPr>
        <w:spacing w:line="240" w:lineRule="auto" w:after="240"/>
        <w:ind w:firstLine="0"/>
        <w:jc w:val="left"/>
      </w:pPr>
      <w:r>
        <w:t xml:space="preserve">REACT. </w:t>
      </w:r>
      <w:r>
        <w:rPr>
          <w:b/>
        </w:rPr>
        <w:t>Quick start</w:t>
      </w:r>
      <w:r>
        <w:t>. [S. l.]: React, [s. d.]. Disponível em: https://react.dev/learn. Acesso em: 18 out. 2026.</w:t>
      </w:r>
    </w:p>
    <w:p>
      <w:pPr>
        <w:spacing w:line="240" w:lineRule="auto" w:after="240"/>
        <w:ind w:firstLine="0"/>
        <w:jc w:val="left"/>
      </w:pPr>
      <w:r>
        <w:t xml:space="preserve">REDIS. </w:t>
      </w:r>
      <w:r>
        <w:rPr>
          <w:b/>
        </w:rPr>
        <w:t>Quick starts</w:t>
      </w:r>
      <w:r>
        <w:t>. [S. l.]: Redis, [s. d.]. Disponível em: https://redis.io/docs/latest/develop/get-started/. Acesso em: 18 out. 2026.</w:t>
      </w:r>
    </w:p>
    <w:p>
      <w:pPr>
        <w:spacing w:line="240" w:lineRule="auto" w:after="240"/>
        <w:ind w:firstLine="0"/>
        <w:jc w:val="left"/>
      </w:pPr>
      <w:r>
        <w:t xml:space="preserve">UNIVERSIDADE FEDERAL DO ESPÍRITO SANTO. </w:t>
      </w:r>
      <w:r>
        <w:rPr>
          <w:b/>
        </w:rPr>
        <w:t>Normalização</w:t>
      </w:r>
      <w:r>
        <w:t>. Vitória: Sistema Integrado de Bibliotecas, [s. d.]. Disponível em: https://biblioteca.ufes.br/manuais-de-normalizacao. Acesso em: 18 out. 2026.</w:t>
      </w:r>
    </w:p>
    <w:p>
      <w:pPr>
        <w:spacing w:line="240" w:lineRule="auto" w:after="240"/>
        <w:ind w:firstLine="0"/>
        <w:jc w:val="left"/>
      </w:pPr>
      <w:r>
        <w:t xml:space="preserve">VERCEL. </w:t>
      </w:r>
      <w:r>
        <w:rPr>
          <w:b/>
        </w:rPr>
        <w:t>Next.js documentation</w:t>
      </w:r>
      <w:r>
        <w:t>. [S. l.]: Vercel, [s. d.]. Disponível em: https://nextjs.org/docs. Acesso em: 18 out. 2026.</w:t>
      </w:r>
    </w:p>
    <w:p>
      <w:bookmarkStart w:id="48" w:name="sec48"/>
      <w:pPr>
        <w:pStyle w:val="Heading1"/>
        <w:pageBreakBefore/>
      </w:pPr>
      <w:r>
        <w:t>11 ATUALIZAÇÃO DOS CRITÉRIOS DE TESTE E PAGAMENTOS</w:t>
      </w:r>
      <w:bookmarkEnd w:id="48"/>
    </w:p>
    <w:p>
      <w:bookmarkStart w:id="49" w:name="sec49"/>
      <w:pPr>
        <w:pStyle w:val="Heading2"/>
      </w:pPr>
      <w:r>
        <w:t>11.1 Objetivo e ambiente</w:t>
      </w:r>
      <w:bookmarkEnd w:id="49"/>
    </w:p>
    <w:p>
      <w:pPr>
        <w:jc w:val="both"/>
      </w:pPr>
      <w:r>
        <w:t>Verificar se uma pessoa consegue operar o Nexly, se as regras preservam os registros e se cada empresa e perfil acessa somente os recursos permitidos. Jest verifica regras da API; Playwright percorre páginas e integrações locais. Fixtures reais usam banco de teste e limpeza ao final. Dublês de Google, Stripe e comunicação precisam estar identificados.</w:t>
      </w:r>
    </w:p>
    <w:p>
      <w:pPr>
        <w:jc w:val="both"/>
      </w:pPr>
      <w:r>
        <w:t>Não use banco de produção, credenciais live ou dados pessoais reais nas fixtures. Um teste aprovado prova o cenário e as condições executadas, sem garantir ausência de qualquer falha no sistema.</w:t>
      </w:r>
    </w:p>
    <w:p>
      <w:bookmarkStart w:id="50" w:name="sec50"/>
      <w:pPr>
        <w:pStyle w:val="Heading2"/>
      </w:pPr>
      <w:r>
        <w:t>11.2 Matriz GOT</w:t>
      </w:r>
      <w:bookmarkEnd w:id="50"/>
    </w:p>
    <w:p>
      <w:pPr>
        <w:jc w:val="both"/>
      </w:pPr>
      <w:r>
        <w:t>A matriz organiza o grupo, a operação e o teste esperado, com identificadores para acompanhar revisão e evidência. Critérios descrevem comportamento esperado; não são resultados automaticamente aprovados.</w:t>
      </w:r>
    </w:p>
    <w:p>
      <w:pPr>
        <w:keepNext/>
        <w:spacing w:line="240" w:lineRule="auto" w:before="120" w:after="120"/>
        <w:ind w:firstLine="0"/>
        <w:jc w:val="center"/>
      </w:pPr>
      <w:r>
        <w:rPr>
          <w:sz w:val="20"/>
        </w:rPr>
        <w:t>Quadro 9 – Matriz de testes GOT</w:t>
      </w:r>
    </w:p>
    <w:tbl>
      <w:tblPr>
        <w:tblStyle w:val="TableGrid"/>
        <w:tblW w:type="auto" w:w="0"/>
        <w:tblLayout w:type="fixed"/>
        <w:tblLook w:firstColumn="1" w:firstRow="1" w:lastColumn="0" w:lastRow="0" w:noHBand="0" w:noVBand="1" w:val="04A0"/>
      </w:tblPr>
      <w:tblGrid>
        <w:gridCol w:w="1089"/>
        <w:gridCol w:w="2449"/>
        <w:gridCol w:w="5533"/>
      </w:tblGrid>
      <w:tr>
        <w:trPr>
          <w:tblHeader/>
          <w:cantSplit/>
        </w:trPr>
        <w:tc>
          <w:tcPr>
            <w:tcW w:type="dxa" w:w="1089"/>
          </w:tcPr>
          <w:p>
            <w:pPr>
              <w:spacing w:line="240" w:lineRule="auto" w:after="100" w:before="100"/>
              <w:ind w:firstLine="0"/>
            </w:pPr>
            <w:r>
              <w:rPr>
                <w:b/>
                <w:sz w:val="20"/>
              </w:rPr>
              <w:t>ID</w:t>
            </w:r>
          </w:p>
        </w:tc>
        <w:tc>
          <w:tcPr>
            <w:tcW w:type="dxa" w:w="2449"/>
          </w:tcPr>
          <w:p>
            <w:pPr>
              <w:spacing w:line="240" w:lineRule="auto" w:after="100" w:before="100"/>
              <w:ind w:firstLine="0"/>
            </w:pPr>
            <w:r>
              <w:rPr>
                <w:b/>
                <w:sz w:val="20"/>
              </w:rPr>
              <w:t>Grupo e operação</w:t>
            </w:r>
          </w:p>
        </w:tc>
        <w:tc>
          <w:tcPr>
            <w:tcW w:type="dxa" w:w="5533"/>
          </w:tcPr>
          <w:p>
            <w:pPr>
              <w:spacing w:line="240" w:lineRule="auto" w:after="100" w:before="100"/>
              <w:ind w:firstLine="0"/>
            </w:pPr>
            <w:r>
              <w:rPr>
                <w:b/>
                <w:sz w:val="20"/>
              </w:rPr>
              <w:t>Procedimento e resultado esperado</w:t>
            </w:r>
          </w:p>
        </w:tc>
      </w:tr>
      <w:tr>
        <w:trPr>
          <w:cantSplit/>
        </w:trPr>
        <w:tc>
          <w:tcPr>
            <w:tcW w:type="dxa" w:w="1089"/>
          </w:tcPr>
          <w:p>
            <w:pPr>
              <w:spacing w:line="240" w:lineRule="auto" w:after="100" w:before="100"/>
              <w:ind w:firstLine="0"/>
            </w:pPr>
            <w:r>
              <w:rPr>
                <w:b w:val="0"/>
                <w:sz w:val="20"/>
              </w:rPr>
              <w:t>CT01</w:t>
            </w:r>
          </w:p>
        </w:tc>
        <w:tc>
          <w:tcPr>
            <w:tcW w:type="dxa" w:w="2449"/>
          </w:tcPr>
          <w:p>
            <w:pPr>
              <w:spacing w:line="240" w:lineRule="auto" w:after="100" w:before="100"/>
              <w:ind w:firstLine="0"/>
            </w:pPr>
            <w:r>
              <w:rPr>
                <w:b w:val="0"/>
                <w:sz w:val="20"/>
              </w:rPr>
              <w:t>Cadastro e presets</w:t>
            </w:r>
          </w:p>
        </w:tc>
        <w:tc>
          <w:tcPr>
            <w:tcW w:type="dxa" w:w="5533"/>
          </w:tcPr>
          <w:p>
            <w:pPr>
              <w:spacing w:line="240" w:lineRule="auto" w:after="100" w:before="100"/>
              <w:ind w:firstLine="0"/>
            </w:pPr>
            <w:r>
              <w:rPr>
                <w:b w:val="0"/>
                <w:sz w:val="20"/>
              </w:rPr>
              <w:t>Percorrer cinco etapas; salvar módulos válidos e termos sem sobreposição de controles.</w:t>
            </w:r>
          </w:p>
        </w:tc>
      </w:tr>
      <w:tr>
        <w:trPr>
          <w:cantSplit/>
        </w:trPr>
        <w:tc>
          <w:tcPr>
            <w:tcW w:type="dxa" w:w="1089"/>
          </w:tcPr>
          <w:p>
            <w:pPr>
              <w:spacing w:line="240" w:lineRule="auto" w:after="100" w:before="100"/>
              <w:ind w:firstLine="0"/>
            </w:pPr>
            <w:r>
              <w:rPr>
                <w:b w:val="0"/>
                <w:sz w:val="20"/>
              </w:rPr>
              <w:t>CT02</w:t>
            </w:r>
          </w:p>
        </w:tc>
        <w:tc>
          <w:tcPr>
            <w:tcW w:type="dxa" w:w="2449"/>
          </w:tcPr>
          <w:p>
            <w:pPr>
              <w:spacing w:line="240" w:lineRule="auto" w:after="100" w:before="100"/>
              <w:ind w:firstLine="0"/>
            </w:pPr>
            <w:r>
              <w:rPr>
                <w:b w:val="0"/>
                <w:sz w:val="20"/>
              </w:rPr>
              <w:t>Validação</w:t>
            </w:r>
          </w:p>
        </w:tc>
        <w:tc>
          <w:tcPr>
            <w:tcW w:type="dxa" w:w="5533"/>
          </w:tcPr>
          <w:p>
            <w:pPr>
              <w:spacing w:line="240" w:lineRule="auto" w:after="100" w:before="100"/>
              <w:ind w:firstLine="0"/>
            </w:pPr>
            <w:r>
              <w:rPr>
                <w:b w:val="0"/>
                <w:sz w:val="20"/>
              </w:rPr>
              <w:t>Enviar campos inválidos; erro associado ao campo e nenhuma gravação parcial indevida.</w:t>
            </w:r>
          </w:p>
        </w:tc>
      </w:tr>
      <w:tr>
        <w:trPr>
          <w:cantSplit/>
        </w:trPr>
        <w:tc>
          <w:tcPr>
            <w:tcW w:type="dxa" w:w="1089"/>
          </w:tcPr>
          <w:p>
            <w:pPr>
              <w:spacing w:line="240" w:lineRule="auto" w:after="100" w:before="100"/>
              <w:ind w:firstLine="0"/>
            </w:pPr>
            <w:r>
              <w:rPr>
                <w:b w:val="0"/>
                <w:sz w:val="20"/>
              </w:rPr>
              <w:t>CT03</w:t>
            </w:r>
          </w:p>
        </w:tc>
        <w:tc>
          <w:tcPr>
            <w:tcW w:type="dxa" w:w="2449"/>
          </w:tcPr>
          <w:p>
            <w:pPr>
              <w:spacing w:line="240" w:lineRule="auto" w:after="100" w:before="100"/>
              <w:ind w:firstLine="0"/>
            </w:pPr>
            <w:r>
              <w:rPr>
                <w:b w:val="0"/>
                <w:sz w:val="20"/>
              </w:rPr>
              <w:t>Login</w:t>
            </w:r>
          </w:p>
        </w:tc>
        <w:tc>
          <w:tcPr>
            <w:tcW w:type="dxa" w:w="5533"/>
          </w:tcPr>
          <w:p>
            <w:pPr>
              <w:spacing w:line="240" w:lineRule="auto" w:after="100" w:before="100"/>
              <w:ind w:firstLine="0"/>
            </w:pPr>
            <w:r>
              <w:rPr>
                <w:b w:val="0"/>
                <w:sz w:val="20"/>
              </w:rPr>
              <w:t>Credenciais válidas abrem painel; inválidas não expõem dados ou senha.</w:t>
            </w:r>
          </w:p>
        </w:tc>
      </w:tr>
      <w:tr>
        <w:trPr>
          <w:cantSplit/>
        </w:trPr>
        <w:tc>
          <w:tcPr>
            <w:tcW w:type="dxa" w:w="1089"/>
          </w:tcPr>
          <w:p>
            <w:pPr>
              <w:spacing w:line="240" w:lineRule="auto" w:after="100" w:before="100"/>
              <w:ind w:firstLine="0"/>
            </w:pPr>
            <w:r>
              <w:rPr>
                <w:b w:val="0"/>
                <w:sz w:val="20"/>
              </w:rPr>
              <w:t>CT04</w:t>
            </w:r>
          </w:p>
        </w:tc>
        <w:tc>
          <w:tcPr>
            <w:tcW w:type="dxa" w:w="2449"/>
          </w:tcPr>
          <w:p>
            <w:pPr>
              <w:spacing w:line="240" w:lineRule="auto" w:after="100" w:before="100"/>
              <w:ind w:firstLine="0"/>
            </w:pPr>
            <w:r>
              <w:rPr>
                <w:b w:val="0"/>
                <w:sz w:val="20"/>
              </w:rPr>
              <w:t>Sessão</w:t>
            </w:r>
          </w:p>
        </w:tc>
        <w:tc>
          <w:tcPr>
            <w:tcW w:type="dxa" w:w="5533"/>
          </w:tcPr>
          <w:p>
            <w:pPr>
              <w:spacing w:line="240" w:lineRule="auto" w:after="100" w:before="100"/>
              <w:ind w:firstLine="0"/>
            </w:pPr>
            <w:r>
              <w:rPr>
                <w:b w:val="0"/>
                <w:sz w:val="20"/>
              </w:rPr>
              <w:t>Renovar token e repetir concorrência; preservar sessão válida e rejeitar reuso indevido.</w:t>
            </w:r>
          </w:p>
        </w:tc>
      </w:tr>
      <w:tr>
        <w:trPr>
          <w:cantSplit/>
        </w:trPr>
        <w:tc>
          <w:tcPr>
            <w:tcW w:type="dxa" w:w="1089"/>
          </w:tcPr>
          <w:p>
            <w:pPr>
              <w:spacing w:line="240" w:lineRule="auto" w:after="100" w:before="100"/>
              <w:ind w:firstLine="0"/>
            </w:pPr>
            <w:r>
              <w:rPr>
                <w:b w:val="0"/>
                <w:sz w:val="20"/>
              </w:rPr>
              <w:t>CT05</w:t>
            </w:r>
          </w:p>
        </w:tc>
        <w:tc>
          <w:tcPr>
            <w:tcW w:type="dxa" w:w="2449"/>
          </w:tcPr>
          <w:p>
            <w:pPr>
              <w:spacing w:line="240" w:lineRule="auto" w:after="100" w:before="100"/>
              <w:ind w:firstLine="0"/>
            </w:pPr>
            <w:r>
              <w:rPr>
                <w:b w:val="0"/>
                <w:sz w:val="20"/>
              </w:rPr>
              <w:t>Segundo fator</w:t>
            </w:r>
          </w:p>
        </w:tc>
        <w:tc>
          <w:tcPr>
            <w:tcW w:type="dxa" w:w="5533"/>
          </w:tcPr>
          <w:p>
            <w:pPr>
              <w:spacing w:line="240" w:lineRule="auto" w:after="100" w:before="100"/>
              <w:ind w:firstLine="0"/>
            </w:pPr>
            <w:r>
              <w:rPr>
                <w:b w:val="0"/>
                <w:sz w:val="20"/>
              </w:rPr>
              <w:t>Ativar TOTP; exigir desafio e impedir repetição de código consumido.</w:t>
            </w:r>
          </w:p>
        </w:tc>
      </w:tr>
      <w:tr>
        <w:trPr>
          <w:cantSplit/>
        </w:trPr>
        <w:tc>
          <w:tcPr>
            <w:tcW w:type="dxa" w:w="1089"/>
          </w:tcPr>
          <w:p>
            <w:pPr>
              <w:spacing w:line="240" w:lineRule="auto" w:after="100" w:before="100"/>
              <w:ind w:firstLine="0"/>
            </w:pPr>
            <w:r>
              <w:rPr>
                <w:b w:val="0"/>
                <w:sz w:val="20"/>
              </w:rPr>
              <w:t>CT06</w:t>
            </w:r>
          </w:p>
        </w:tc>
        <w:tc>
          <w:tcPr>
            <w:tcW w:type="dxa" w:w="2449"/>
          </w:tcPr>
          <w:p>
            <w:pPr>
              <w:spacing w:line="240" w:lineRule="auto" w:after="100" w:before="100"/>
              <w:ind w:firstLine="0"/>
            </w:pPr>
            <w:r>
              <w:rPr>
                <w:b w:val="0"/>
                <w:sz w:val="20"/>
              </w:rPr>
              <w:t>Recuperação</w:t>
            </w:r>
          </w:p>
        </w:tc>
        <w:tc>
          <w:tcPr>
            <w:tcW w:type="dxa" w:w="5533"/>
          </w:tcPr>
          <w:p>
            <w:pPr>
              <w:spacing w:line="240" w:lineRule="auto" w:after="100" w:before="100"/>
              <w:ind w:firstLine="0"/>
            </w:pPr>
            <w:r>
              <w:rPr>
                <w:b w:val="0"/>
                <w:sz w:val="20"/>
              </w:rPr>
              <w:t>Sem provedor, informar indisponibilidade; com dublê, manter token cifrado e de uso único.</w:t>
            </w:r>
          </w:p>
        </w:tc>
      </w:tr>
      <w:tr>
        <w:trPr>
          <w:cantSplit/>
        </w:trPr>
        <w:tc>
          <w:tcPr>
            <w:tcW w:type="dxa" w:w="1089"/>
          </w:tcPr>
          <w:p>
            <w:pPr>
              <w:spacing w:line="240" w:lineRule="auto" w:after="100" w:before="100"/>
              <w:ind w:firstLine="0"/>
            </w:pPr>
            <w:r>
              <w:rPr>
                <w:b w:val="0"/>
                <w:sz w:val="20"/>
              </w:rPr>
              <w:t>CT07</w:t>
            </w:r>
          </w:p>
        </w:tc>
        <w:tc>
          <w:tcPr>
            <w:tcW w:type="dxa" w:w="2449"/>
          </w:tcPr>
          <w:p>
            <w:pPr>
              <w:spacing w:line="240" w:lineRule="auto" w:after="100" w:before="100"/>
              <w:ind w:firstLine="0"/>
            </w:pPr>
            <w:r>
              <w:rPr>
                <w:b w:val="0"/>
                <w:sz w:val="20"/>
              </w:rPr>
              <w:t>Integridade criptográfica</w:t>
            </w:r>
          </w:p>
        </w:tc>
        <w:tc>
          <w:tcPr>
            <w:tcW w:type="dxa" w:w="5533"/>
          </w:tcPr>
          <w:p>
            <w:pPr>
              <w:spacing w:line="240" w:lineRule="auto" w:after="100" w:before="100"/>
              <w:ind w:firstLine="0"/>
            </w:pPr>
            <w:r>
              <w:rPr>
                <w:b w:val="0"/>
                <w:sz w:val="20"/>
              </w:rPr>
              <w:t>Truncar tag AES-GCM para 4, 12 e 15 bytes; rejeitar antes da operação protegida.</w:t>
            </w:r>
          </w:p>
        </w:tc>
      </w:tr>
      <w:tr>
        <w:trPr>
          <w:cantSplit/>
        </w:trPr>
        <w:tc>
          <w:tcPr>
            <w:tcW w:type="dxa" w:w="1089"/>
          </w:tcPr>
          <w:p>
            <w:pPr>
              <w:spacing w:line="240" w:lineRule="auto" w:after="100" w:before="100"/>
              <w:ind w:firstLine="0"/>
            </w:pPr>
            <w:r>
              <w:rPr>
                <w:b w:val="0"/>
                <w:sz w:val="20"/>
              </w:rPr>
              <w:t>CT08</w:t>
            </w:r>
          </w:p>
        </w:tc>
        <w:tc>
          <w:tcPr>
            <w:tcW w:type="dxa" w:w="2449"/>
          </w:tcPr>
          <w:p>
            <w:pPr>
              <w:spacing w:line="240" w:lineRule="auto" w:after="100" w:before="100"/>
              <w:ind w:firstLine="0"/>
            </w:pPr>
            <w:r>
              <w:rPr>
                <w:b w:val="0"/>
                <w:sz w:val="20"/>
              </w:rPr>
              <w:t>Google</w:t>
            </w:r>
          </w:p>
        </w:tc>
        <w:tc>
          <w:tcPr>
            <w:tcW w:type="dxa" w:w="5533"/>
          </w:tcPr>
          <w:p>
            <w:pPr>
              <w:spacing w:line="240" w:lineRule="auto" w:after="100" w:before="100"/>
              <w:ind w:firstLine="0"/>
            </w:pPr>
            <w:r>
              <w:rPr>
                <w:b w:val="0"/>
                <w:sz w:val="20"/>
              </w:rPr>
              <w:t>Validar token e vínculo; rejeitar declarações incorretas e associação sem prova local.</w:t>
            </w:r>
          </w:p>
        </w:tc>
      </w:tr>
      <w:tr>
        <w:trPr>
          <w:cantSplit/>
        </w:trPr>
        <w:tc>
          <w:tcPr>
            <w:tcW w:type="dxa" w:w="1089"/>
          </w:tcPr>
          <w:p>
            <w:pPr>
              <w:spacing w:line="240" w:lineRule="auto" w:after="100" w:before="100"/>
              <w:ind w:firstLine="0"/>
            </w:pPr>
            <w:r>
              <w:rPr>
                <w:b w:val="0"/>
                <w:sz w:val="20"/>
              </w:rPr>
              <w:t>CT09</w:t>
            </w:r>
          </w:p>
        </w:tc>
        <w:tc>
          <w:tcPr>
            <w:tcW w:type="dxa" w:w="2449"/>
          </w:tcPr>
          <w:p>
            <w:pPr>
              <w:spacing w:line="240" w:lineRule="auto" w:after="100" w:before="100"/>
              <w:ind w:firstLine="0"/>
            </w:pPr>
            <w:r>
              <w:rPr>
                <w:b w:val="0"/>
                <w:sz w:val="20"/>
              </w:rPr>
              <w:t>Isolamento</w:t>
            </w:r>
          </w:p>
        </w:tc>
        <w:tc>
          <w:tcPr>
            <w:tcW w:type="dxa" w:w="5533"/>
          </w:tcPr>
          <w:p>
            <w:pPr>
              <w:spacing w:line="240" w:lineRule="auto" w:after="100" w:before="100"/>
              <w:ind w:firstLine="0"/>
            </w:pPr>
            <w:r>
              <w:rPr>
                <w:b w:val="0"/>
                <w:sz w:val="20"/>
              </w:rPr>
              <w:t>Criar duas empresas; leitura e alteração de recurso alheio são recusadas.</w:t>
            </w:r>
          </w:p>
        </w:tc>
      </w:tr>
      <w:tr>
        <w:trPr>
          <w:cantSplit/>
        </w:trPr>
        <w:tc>
          <w:tcPr>
            <w:tcW w:type="dxa" w:w="1089"/>
          </w:tcPr>
          <w:p>
            <w:pPr>
              <w:spacing w:line="240" w:lineRule="auto" w:after="100" w:before="100"/>
              <w:ind w:firstLine="0"/>
            </w:pPr>
            <w:r>
              <w:rPr>
                <w:b w:val="0"/>
                <w:sz w:val="20"/>
              </w:rPr>
              <w:t>CT10</w:t>
            </w:r>
          </w:p>
        </w:tc>
        <w:tc>
          <w:tcPr>
            <w:tcW w:type="dxa" w:w="2449"/>
          </w:tcPr>
          <w:p>
            <w:pPr>
              <w:spacing w:line="240" w:lineRule="auto" w:after="100" w:before="100"/>
              <w:ind w:firstLine="0"/>
            </w:pPr>
            <w:r>
              <w:rPr>
                <w:b w:val="0"/>
                <w:sz w:val="20"/>
              </w:rPr>
              <w:t>Perfis</w:t>
            </w:r>
          </w:p>
        </w:tc>
        <w:tc>
          <w:tcPr>
            <w:tcW w:type="dxa" w:w="5533"/>
          </w:tcPr>
          <w:p>
            <w:pPr>
              <w:spacing w:line="240" w:lineRule="auto" w:after="100" w:before="100"/>
              <w:ind w:firstLine="0"/>
            </w:pPr>
            <w:r>
              <w:rPr>
                <w:b w:val="0"/>
                <w:sz w:val="20"/>
              </w:rPr>
              <w:t>Acessar rotas financeiras com recepcionista; não retornar dados financeiros.</w:t>
            </w:r>
          </w:p>
        </w:tc>
      </w:tr>
      <w:tr>
        <w:trPr>
          <w:cantSplit/>
        </w:trPr>
        <w:tc>
          <w:tcPr>
            <w:tcW w:type="dxa" w:w="1089"/>
          </w:tcPr>
          <w:p>
            <w:pPr>
              <w:spacing w:line="240" w:lineRule="auto" w:after="100" w:before="100"/>
              <w:ind w:firstLine="0"/>
            </w:pPr>
            <w:r>
              <w:rPr>
                <w:b w:val="0"/>
                <w:sz w:val="20"/>
              </w:rPr>
              <w:t>CT11</w:t>
            </w:r>
          </w:p>
        </w:tc>
        <w:tc>
          <w:tcPr>
            <w:tcW w:type="dxa" w:w="2449"/>
          </w:tcPr>
          <w:p>
            <w:pPr>
              <w:spacing w:line="240" w:lineRule="auto" w:after="100" w:before="100"/>
              <w:ind w:firstLine="0"/>
            </w:pPr>
            <w:r>
              <w:rPr>
                <w:b w:val="0"/>
                <w:sz w:val="20"/>
              </w:rPr>
              <w:t>Clientes</w:t>
            </w:r>
          </w:p>
        </w:tc>
        <w:tc>
          <w:tcPr>
            <w:tcW w:type="dxa" w:w="5533"/>
          </w:tcPr>
          <w:p>
            <w:pPr>
              <w:spacing w:line="240" w:lineRule="auto" w:after="100" w:before="100"/>
              <w:ind w:firstLine="0"/>
            </w:pPr>
            <w:r>
              <w:rPr>
                <w:b w:val="0"/>
                <w:sz w:val="20"/>
              </w:rPr>
              <w:t>Criar, localizar, editar e consultar histórico sem perder contexto.</w:t>
            </w:r>
          </w:p>
        </w:tc>
      </w:tr>
      <w:tr>
        <w:trPr>
          <w:cantSplit/>
        </w:trPr>
        <w:tc>
          <w:tcPr>
            <w:tcW w:type="dxa" w:w="1089"/>
          </w:tcPr>
          <w:p>
            <w:pPr>
              <w:spacing w:line="240" w:lineRule="auto" w:after="100" w:before="100"/>
              <w:ind w:firstLine="0"/>
            </w:pPr>
            <w:r>
              <w:rPr>
                <w:b w:val="0"/>
                <w:sz w:val="20"/>
              </w:rPr>
              <w:t>CT12</w:t>
            </w:r>
          </w:p>
        </w:tc>
        <w:tc>
          <w:tcPr>
            <w:tcW w:type="dxa" w:w="2449"/>
          </w:tcPr>
          <w:p>
            <w:pPr>
              <w:spacing w:line="240" w:lineRule="auto" w:after="100" w:before="100"/>
              <w:ind w:firstLine="0"/>
            </w:pPr>
            <w:r>
              <w:rPr>
                <w:b w:val="0"/>
                <w:sz w:val="20"/>
              </w:rPr>
              <w:t>Profissionais</w:t>
            </w:r>
          </w:p>
        </w:tc>
        <w:tc>
          <w:tcPr>
            <w:tcW w:type="dxa" w:w="5533"/>
          </w:tcPr>
          <w:p>
            <w:pPr>
              <w:spacing w:line="240" w:lineRule="auto" w:after="100" w:before="100"/>
              <w:ind w:firstLine="0"/>
            </w:pPr>
            <w:r>
              <w:rPr>
                <w:b w:val="0"/>
                <w:sz w:val="20"/>
              </w:rPr>
              <w:t>Atingir limite ativo do plano; nova ativação é recusada com retorno compreensível.</w:t>
            </w:r>
          </w:p>
        </w:tc>
      </w:tr>
      <w:tr>
        <w:trPr>
          <w:cantSplit/>
        </w:trPr>
        <w:tc>
          <w:tcPr>
            <w:tcW w:type="dxa" w:w="1089"/>
          </w:tcPr>
          <w:p>
            <w:pPr>
              <w:spacing w:line="240" w:lineRule="auto" w:after="100" w:before="100"/>
              <w:ind w:firstLine="0"/>
            </w:pPr>
            <w:r>
              <w:rPr>
                <w:b w:val="0"/>
                <w:sz w:val="20"/>
              </w:rPr>
              <w:t>CT13</w:t>
            </w:r>
          </w:p>
        </w:tc>
        <w:tc>
          <w:tcPr>
            <w:tcW w:type="dxa" w:w="2449"/>
          </w:tcPr>
          <w:p>
            <w:pPr>
              <w:spacing w:line="240" w:lineRule="auto" w:after="100" w:before="100"/>
              <w:ind w:firstLine="0"/>
            </w:pPr>
            <w:r>
              <w:rPr>
                <w:b w:val="0"/>
                <w:sz w:val="20"/>
              </w:rPr>
              <w:t>Agenda</w:t>
            </w:r>
          </w:p>
        </w:tc>
        <w:tc>
          <w:tcPr>
            <w:tcW w:type="dxa" w:w="5533"/>
          </w:tcPr>
          <w:p>
            <w:pPr>
              <w:spacing w:line="240" w:lineRule="auto" w:after="100" w:before="100"/>
              <w:ind w:firstLine="0"/>
            </w:pPr>
            <w:r>
              <w:rPr>
                <w:b w:val="0"/>
                <w:sz w:val="20"/>
              </w:rPr>
              <w:t>Marcar horários sobrepostos para o mesmo profissional; impedir conflito.</w:t>
            </w:r>
          </w:p>
        </w:tc>
      </w:tr>
      <w:tr>
        <w:trPr>
          <w:cantSplit/>
        </w:trPr>
        <w:tc>
          <w:tcPr>
            <w:tcW w:type="dxa" w:w="1089"/>
          </w:tcPr>
          <w:p>
            <w:pPr>
              <w:spacing w:line="240" w:lineRule="auto" w:after="100" w:before="100"/>
              <w:ind w:firstLine="0"/>
            </w:pPr>
            <w:r>
              <w:rPr>
                <w:b w:val="0"/>
                <w:sz w:val="20"/>
              </w:rPr>
              <w:t>CT14</w:t>
            </w:r>
          </w:p>
        </w:tc>
        <w:tc>
          <w:tcPr>
            <w:tcW w:type="dxa" w:w="2449"/>
          </w:tcPr>
          <w:p>
            <w:pPr>
              <w:spacing w:line="240" w:lineRule="auto" w:after="100" w:before="100"/>
              <w:ind w:firstLine="0"/>
            </w:pPr>
            <w:r>
              <w:rPr>
                <w:b w:val="0"/>
                <w:sz w:val="20"/>
              </w:rPr>
              <w:t>Fuso horário</w:t>
            </w:r>
          </w:p>
        </w:tc>
        <w:tc>
          <w:tcPr>
            <w:tcW w:type="dxa" w:w="5533"/>
          </w:tcPr>
          <w:p>
            <w:pPr>
              <w:spacing w:line="240" w:lineRule="auto" w:after="100" w:before="100"/>
              <w:ind w:firstLine="0"/>
            </w:pPr>
            <w:r>
              <w:rPr>
                <w:b w:val="0"/>
                <w:sz w:val="20"/>
              </w:rPr>
              <w:t>Usar instantes próximos à meia-noite; respeitar dia e expediente da empresa.</w:t>
            </w:r>
          </w:p>
        </w:tc>
      </w:tr>
      <w:tr>
        <w:trPr>
          <w:cantSplit/>
        </w:trPr>
        <w:tc>
          <w:tcPr>
            <w:tcW w:type="dxa" w:w="1089"/>
          </w:tcPr>
          <w:p>
            <w:pPr>
              <w:spacing w:line="240" w:lineRule="auto" w:after="100" w:before="100"/>
              <w:ind w:firstLine="0"/>
            </w:pPr>
            <w:r>
              <w:rPr>
                <w:b w:val="0"/>
                <w:sz w:val="20"/>
              </w:rPr>
              <w:t>CT15</w:t>
            </w:r>
          </w:p>
        </w:tc>
        <w:tc>
          <w:tcPr>
            <w:tcW w:type="dxa" w:w="2449"/>
          </w:tcPr>
          <w:p>
            <w:pPr>
              <w:spacing w:line="240" w:lineRule="auto" w:after="100" w:before="100"/>
              <w:ind w:firstLine="0"/>
            </w:pPr>
            <w:r>
              <w:rPr>
                <w:b w:val="0"/>
                <w:sz w:val="20"/>
              </w:rPr>
              <w:t>Atendimento</w:t>
            </w:r>
          </w:p>
        </w:tc>
        <w:tc>
          <w:tcPr>
            <w:tcW w:type="dxa" w:w="5533"/>
          </w:tcPr>
          <w:p>
            <w:pPr>
              <w:spacing w:line="240" w:lineRule="auto" w:after="100" w:before="100"/>
              <w:ind w:firstLine="0"/>
            </w:pPr>
            <w:r>
              <w:rPr>
                <w:b w:val="0"/>
                <w:sz w:val="20"/>
              </w:rPr>
              <w:t>Concluir serviço com insumos; registrar baixa e impedir duplicação por repetição.</w:t>
            </w:r>
          </w:p>
        </w:tc>
      </w:tr>
      <w:tr>
        <w:trPr>
          <w:cantSplit/>
        </w:trPr>
        <w:tc>
          <w:tcPr>
            <w:tcW w:type="dxa" w:w="1089"/>
          </w:tcPr>
          <w:p>
            <w:pPr>
              <w:spacing w:line="240" w:lineRule="auto" w:after="100" w:before="100"/>
              <w:ind w:firstLine="0"/>
            </w:pPr>
            <w:r>
              <w:rPr>
                <w:b w:val="0"/>
                <w:sz w:val="20"/>
              </w:rPr>
              <w:t>CT16</w:t>
            </w:r>
          </w:p>
        </w:tc>
        <w:tc>
          <w:tcPr>
            <w:tcW w:type="dxa" w:w="2449"/>
          </w:tcPr>
          <w:p>
            <w:pPr>
              <w:spacing w:line="240" w:lineRule="auto" w:after="100" w:before="100"/>
              <w:ind w:firstLine="0"/>
            </w:pPr>
            <w:r>
              <w:rPr>
                <w:b w:val="0"/>
                <w:sz w:val="20"/>
              </w:rPr>
              <w:t>Estoque</w:t>
            </w:r>
          </w:p>
        </w:tc>
        <w:tc>
          <w:tcPr>
            <w:tcW w:type="dxa" w:w="5533"/>
          </w:tcPr>
          <w:p>
            <w:pPr>
              <w:spacing w:line="240" w:lineRule="auto" w:after="100" w:before="100"/>
              <w:ind w:firstLine="0"/>
            </w:pPr>
            <w:r>
              <w:rPr>
                <w:b w:val="0"/>
                <w:sz w:val="20"/>
              </w:rPr>
              <w:t>Executar operações concorrentes; preservar saldo e histórico de movimentos.</w:t>
            </w:r>
          </w:p>
        </w:tc>
      </w:tr>
      <w:tr>
        <w:trPr>
          <w:cantSplit/>
        </w:trPr>
        <w:tc>
          <w:tcPr>
            <w:tcW w:type="dxa" w:w="1089"/>
          </w:tcPr>
          <w:p>
            <w:pPr>
              <w:spacing w:line="240" w:lineRule="auto" w:after="100" w:before="100"/>
              <w:ind w:firstLine="0"/>
            </w:pPr>
            <w:r>
              <w:rPr>
                <w:b w:val="0"/>
                <w:sz w:val="20"/>
              </w:rPr>
              <w:t>CT17</w:t>
            </w:r>
          </w:p>
        </w:tc>
        <w:tc>
          <w:tcPr>
            <w:tcW w:type="dxa" w:w="2449"/>
          </w:tcPr>
          <w:p>
            <w:pPr>
              <w:spacing w:line="240" w:lineRule="auto" w:after="100" w:before="100"/>
              <w:ind w:firstLine="0"/>
            </w:pPr>
            <w:r>
              <w:rPr>
                <w:b w:val="0"/>
                <w:sz w:val="20"/>
              </w:rPr>
              <w:t>PDV</w:t>
            </w:r>
          </w:p>
        </w:tc>
        <w:tc>
          <w:tcPr>
            <w:tcW w:type="dxa" w:w="5533"/>
          </w:tcPr>
          <w:p>
            <w:pPr>
              <w:spacing w:line="240" w:lineRule="auto" w:after="100" w:before="100"/>
              <w:ind w:firstLine="0"/>
            </w:pPr>
            <w:r>
              <w:rPr>
                <w:b w:val="0"/>
                <w:sz w:val="20"/>
              </w:rPr>
              <w:t>Finalizar venda e repetir solicitação; consistência entre itens, total e estoque.</w:t>
            </w:r>
          </w:p>
        </w:tc>
      </w:tr>
      <w:tr>
        <w:trPr>
          <w:cantSplit/>
        </w:trPr>
        <w:tc>
          <w:tcPr>
            <w:tcW w:type="dxa" w:w="1089"/>
          </w:tcPr>
          <w:p>
            <w:pPr>
              <w:spacing w:line="240" w:lineRule="auto" w:after="100" w:before="100"/>
              <w:ind w:firstLine="0"/>
            </w:pPr>
            <w:r>
              <w:rPr>
                <w:b w:val="0"/>
                <w:sz w:val="20"/>
              </w:rPr>
              <w:t>CT18</w:t>
            </w:r>
          </w:p>
        </w:tc>
        <w:tc>
          <w:tcPr>
            <w:tcW w:type="dxa" w:w="2449"/>
          </w:tcPr>
          <w:p>
            <w:pPr>
              <w:spacing w:line="240" w:lineRule="auto" w:after="100" w:before="100"/>
              <w:ind w:firstLine="0"/>
            </w:pPr>
            <w:r>
              <w:rPr>
                <w:b w:val="0"/>
                <w:sz w:val="20"/>
              </w:rPr>
              <w:t>Compras</w:t>
            </w:r>
          </w:p>
        </w:tc>
        <w:tc>
          <w:tcPr>
            <w:tcW w:type="dxa" w:w="5533"/>
          </w:tcPr>
          <w:p>
            <w:pPr>
              <w:spacing w:line="240" w:lineRule="auto" w:after="100" w:before="100"/>
              <w:ind w:firstLine="0"/>
            </w:pPr>
            <w:r>
              <w:rPr>
                <w:b w:val="0"/>
                <w:sz w:val="20"/>
              </w:rPr>
              <w:t>Receber pedido; refletir entradas e valores segundo regras implementadas.</w:t>
            </w:r>
          </w:p>
        </w:tc>
      </w:tr>
      <w:tr>
        <w:trPr>
          <w:cantSplit/>
        </w:trPr>
        <w:tc>
          <w:tcPr>
            <w:tcW w:type="dxa" w:w="1089"/>
          </w:tcPr>
          <w:p>
            <w:pPr>
              <w:spacing w:line="240" w:lineRule="auto" w:after="100" w:before="100"/>
              <w:ind w:firstLine="0"/>
            </w:pPr>
            <w:r>
              <w:rPr>
                <w:b w:val="0"/>
                <w:sz w:val="20"/>
              </w:rPr>
              <w:t>CT19</w:t>
            </w:r>
          </w:p>
        </w:tc>
        <w:tc>
          <w:tcPr>
            <w:tcW w:type="dxa" w:w="2449"/>
          </w:tcPr>
          <w:p>
            <w:pPr>
              <w:spacing w:line="240" w:lineRule="auto" w:after="100" w:before="100"/>
              <w:ind w:firstLine="0"/>
            </w:pPr>
            <w:r>
              <w:rPr>
                <w:b w:val="0"/>
                <w:sz w:val="20"/>
              </w:rPr>
              <w:t>Financeiro</w:t>
            </w:r>
          </w:p>
        </w:tc>
        <w:tc>
          <w:tcPr>
            <w:tcW w:type="dxa" w:w="5533"/>
          </w:tcPr>
          <w:p>
            <w:pPr>
              <w:spacing w:line="240" w:lineRule="auto" w:after="100" w:before="100"/>
              <w:ind w:firstLine="0"/>
            </w:pPr>
            <w:r>
              <w:rPr>
                <w:b w:val="0"/>
                <w:sz w:val="20"/>
              </w:rPr>
              <w:t>Filtrar período, liquidar parcialmente e consultar saldo sem dupla contagem.</w:t>
            </w:r>
          </w:p>
        </w:tc>
      </w:tr>
      <w:tr>
        <w:trPr>
          <w:cantSplit/>
        </w:trPr>
        <w:tc>
          <w:tcPr>
            <w:tcW w:type="dxa" w:w="1089"/>
          </w:tcPr>
          <w:p>
            <w:pPr>
              <w:spacing w:line="240" w:lineRule="auto" w:after="100" w:before="100"/>
              <w:ind w:firstLine="0"/>
            </w:pPr>
            <w:r>
              <w:rPr>
                <w:b w:val="0"/>
                <w:sz w:val="20"/>
              </w:rPr>
              <w:t>CT20</w:t>
            </w:r>
          </w:p>
        </w:tc>
        <w:tc>
          <w:tcPr>
            <w:tcW w:type="dxa" w:w="2449"/>
          </w:tcPr>
          <w:p>
            <w:pPr>
              <w:spacing w:line="240" w:lineRule="auto" w:after="100" w:before="100"/>
              <w:ind w:firstLine="0"/>
            </w:pPr>
            <w:r>
              <w:rPr>
                <w:b w:val="0"/>
                <w:sz w:val="20"/>
              </w:rPr>
              <w:t>Alertas</w:t>
            </w:r>
          </w:p>
        </w:tc>
        <w:tc>
          <w:tcPr>
            <w:tcW w:type="dxa" w:w="5533"/>
          </w:tcPr>
          <w:p>
            <w:pPr>
              <w:spacing w:line="240" w:lineRule="auto" w:after="100" w:before="100"/>
              <w:ind w:firstLine="0"/>
            </w:pPr>
            <w:r>
              <w:rPr>
                <w:b w:val="0"/>
                <w:sz w:val="20"/>
              </w:rPr>
              <w:t>Excluir contas pagas/canceladas, incluir parciais e abrir período correto.</w:t>
            </w:r>
          </w:p>
        </w:tc>
      </w:tr>
      <w:tr>
        <w:trPr>
          <w:cantSplit/>
        </w:trPr>
        <w:tc>
          <w:tcPr>
            <w:tcW w:type="dxa" w:w="1089"/>
          </w:tcPr>
          <w:p>
            <w:pPr>
              <w:spacing w:line="240" w:lineRule="auto" w:after="100" w:before="100"/>
              <w:ind w:firstLine="0"/>
            </w:pPr>
            <w:r>
              <w:rPr>
                <w:b w:val="0"/>
                <w:sz w:val="20"/>
              </w:rPr>
              <w:t>CT21</w:t>
            </w:r>
          </w:p>
        </w:tc>
        <w:tc>
          <w:tcPr>
            <w:tcW w:type="dxa" w:w="2449"/>
          </w:tcPr>
          <w:p>
            <w:pPr>
              <w:spacing w:line="240" w:lineRule="auto" w:after="100" w:before="100"/>
              <w:ind w:firstLine="0"/>
            </w:pPr>
            <w:r>
              <w:rPr>
                <w:b w:val="0"/>
                <w:sz w:val="20"/>
              </w:rPr>
              <w:t>Comissões</w:t>
            </w:r>
          </w:p>
        </w:tc>
        <w:tc>
          <w:tcPr>
            <w:tcW w:type="dxa" w:w="5533"/>
          </w:tcPr>
          <w:p>
            <w:pPr>
              <w:spacing w:line="240" w:lineRule="auto" w:after="100" w:before="100"/>
              <w:ind w:firstLine="0"/>
            </w:pPr>
            <w:r>
              <w:rPr>
                <w:b w:val="0"/>
                <w:sz w:val="20"/>
              </w:rPr>
              <w:t>Consultar histórico e alterações sem confundir cálculo com pagamento bancário.</w:t>
            </w:r>
          </w:p>
        </w:tc>
      </w:tr>
      <w:tr>
        <w:trPr>
          <w:cantSplit/>
        </w:trPr>
        <w:tc>
          <w:tcPr>
            <w:tcW w:type="dxa" w:w="1089"/>
          </w:tcPr>
          <w:p>
            <w:pPr>
              <w:spacing w:line="240" w:lineRule="auto" w:after="100" w:before="100"/>
              <w:ind w:firstLine="0"/>
            </w:pPr>
            <w:r>
              <w:rPr>
                <w:b w:val="0"/>
                <w:sz w:val="20"/>
              </w:rPr>
              <w:t>CT22</w:t>
            </w:r>
          </w:p>
        </w:tc>
        <w:tc>
          <w:tcPr>
            <w:tcW w:type="dxa" w:w="2449"/>
          </w:tcPr>
          <w:p>
            <w:pPr>
              <w:spacing w:line="240" w:lineRule="auto" w:after="100" w:before="100"/>
              <w:ind w:firstLine="0"/>
            </w:pPr>
            <w:r>
              <w:rPr>
                <w:b w:val="0"/>
                <w:sz w:val="20"/>
              </w:rPr>
              <w:t>Operação</w:t>
            </w:r>
          </w:p>
        </w:tc>
        <w:tc>
          <w:tcPr>
            <w:tcW w:type="dxa" w:w="5533"/>
          </w:tcPr>
          <w:p>
            <w:pPr>
              <w:spacing w:line="240" w:lineRule="auto" w:after="100" w:before="100"/>
              <w:ind w:firstLine="0"/>
            </w:pPr>
            <w:r>
              <w:rPr>
                <w:b w:val="0"/>
                <w:sz w:val="20"/>
              </w:rPr>
              <w:t>Usar tarefas, filiais, documentos, recorrências e automações com permissão.</w:t>
            </w:r>
          </w:p>
        </w:tc>
      </w:tr>
      <w:tr>
        <w:trPr>
          <w:cantSplit/>
        </w:trPr>
        <w:tc>
          <w:tcPr>
            <w:tcW w:type="dxa" w:w="1089"/>
          </w:tcPr>
          <w:p>
            <w:pPr>
              <w:spacing w:line="240" w:lineRule="auto" w:after="100" w:before="100"/>
              <w:ind w:firstLine="0"/>
            </w:pPr>
            <w:r>
              <w:rPr>
                <w:b w:val="0"/>
                <w:sz w:val="20"/>
              </w:rPr>
              <w:t>CT23</w:t>
            </w:r>
          </w:p>
        </w:tc>
        <w:tc>
          <w:tcPr>
            <w:tcW w:type="dxa" w:w="2449"/>
          </w:tcPr>
          <w:p>
            <w:pPr>
              <w:spacing w:line="240" w:lineRule="auto" w:after="100" w:before="100"/>
              <w:ind w:firstLine="0"/>
            </w:pPr>
            <w:r>
              <w:rPr>
                <w:b w:val="0"/>
                <w:sz w:val="20"/>
              </w:rPr>
              <w:t>Importação</w:t>
            </w:r>
          </w:p>
        </w:tc>
        <w:tc>
          <w:tcPr>
            <w:tcW w:type="dxa" w:w="5533"/>
          </w:tcPr>
          <w:p>
            <w:pPr>
              <w:spacing w:line="240" w:lineRule="auto" w:after="100" w:before="100"/>
              <w:ind w:firstLine="0"/>
            </w:pPr>
            <w:r>
              <w:rPr>
                <w:b w:val="0"/>
                <w:sz w:val="20"/>
              </w:rPr>
              <w:t>Testar CSV, BOM, aspas, duplicados e estrutura inválida; rejeitar ambiguidades.</w:t>
            </w:r>
          </w:p>
        </w:tc>
      </w:tr>
      <w:tr>
        <w:trPr>
          <w:cantSplit/>
        </w:trPr>
        <w:tc>
          <w:tcPr>
            <w:tcW w:type="dxa" w:w="1089"/>
          </w:tcPr>
          <w:p>
            <w:pPr>
              <w:spacing w:line="240" w:lineRule="auto" w:after="100" w:before="100"/>
              <w:ind w:firstLine="0"/>
            </w:pPr>
            <w:r>
              <w:rPr>
                <w:b w:val="0"/>
                <w:sz w:val="20"/>
              </w:rPr>
              <w:t>CT24</w:t>
            </w:r>
          </w:p>
        </w:tc>
        <w:tc>
          <w:tcPr>
            <w:tcW w:type="dxa" w:w="2449"/>
          </w:tcPr>
          <w:p>
            <w:pPr>
              <w:spacing w:line="240" w:lineRule="auto" w:after="100" w:before="100"/>
              <w:ind w:firstLine="0"/>
            </w:pPr>
            <w:r>
              <w:rPr>
                <w:b w:val="0"/>
                <w:sz w:val="20"/>
              </w:rPr>
              <w:t>Exportação</w:t>
            </w:r>
          </w:p>
        </w:tc>
        <w:tc>
          <w:tcPr>
            <w:tcW w:type="dxa" w:w="5533"/>
          </w:tcPr>
          <w:p>
            <w:pPr>
              <w:spacing w:line="240" w:lineRule="auto" w:after="100" w:before="100"/>
              <w:ind w:firstLine="0"/>
            </w:pPr>
            <w:r>
              <w:rPr>
                <w:b w:val="0"/>
                <w:sz w:val="20"/>
              </w:rPr>
              <w:t>Respeitar empresa, permissão e cota; arquivo não é salvo na documentação pública.</w:t>
            </w:r>
          </w:p>
        </w:tc>
      </w:tr>
      <w:tr>
        <w:trPr>
          <w:cantSplit/>
        </w:trPr>
        <w:tc>
          <w:tcPr>
            <w:tcW w:type="dxa" w:w="1089"/>
          </w:tcPr>
          <w:p>
            <w:pPr>
              <w:spacing w:line="240" w:lineRule="auto" w:after="100" w:before="100"/>
              <w:ind w:firstLine="0"/>
            </w:pPr>
            <w:r>
              <w:rPr>
                <w:b w:val="0"/>
                <w:sz w:val="20"/>
              </w:rPr>
              <w:t>CT25</w:t>
            </w:r>
          </w:p>
        </w:tc>
        <w:tc>
          <w:tcPr>
            <w:tcW w:type="dxa" w:w="2449"/>
          </w:tcPr>
          <w:p>
            <w:pPr>
              <w:spacing w:line="240" w:lineRule="auto" w:after="100" w:before="100"/>
              <w:ind w:firstLine="0"/>
            </w:pPr>
            <w:r>
              <w:rPr>
                <w:b w:val="0"/>
                <w:sz w:val="20"/>
              </w:rPr>
              <w:t>Assinaturas</w:t>
            </w:r>
          </w:p>
        </w:tc>
        <w:tc>
          <w:tcPr>
            <w:tcW w:type="dxa" w:w="5533"/>
          </w:tcPr>
          <w:p>
            <w:pPr>
              <w:spacing w:line="240" w:lineRule="auto" w:after="100" w:before="100"/>
              <w:ind w:firstLine="0"/>
            </w:pPr>
            <w:r>
              <w:rPr>
                <w:b w:val="0"/>
                <w:sz w:val="20"/>
              </w:rPr>
              <w:t>No Sandbox, criar Checkout; mudança de plano depende de confirmação confiável.</w:t>
            </w:r>
          </w:p>
        </w:tc>
      </w:tr>
      <w:tr>
        <w:trPr>
          <w:cantSplit/>
        </w:trPr>
        <w:tc>
          <w:tcPr>
            <w:tcW w:type="dxa" w:w="1089"/>
          </w:tcPr>
          <w:p>
            <w:pPr>
              <w:spacing w:line="240" w:lineRule="auto" w:after="100" w:before="100"/>
              <w:ind w:firstLine="0"/>
            </w:pPr>
            <w:r>
              <w:rPr>
                <w:b w:val="0"/>
                <w:sz w:val="20"/>
              </w:rPr>
              <w:t>CT26</w:t>
            </w:r>
          </w:p>
        </w:tc>
        <w:tc>
          <w:tcPr>
            <w:tcW w:type="dxa" w:w="2449"/>
          </w:tcPr>
          <w:p>
            <w:pPr>
              <w:spacing w:line="240" w:lineRule="auto" w:after="100" w:before="100"/>
              <w:ind w:firstLine="0"/>
            </w:pPr>
            <w:r>
              <w:rPr>
                <w:b w:val="0"/>
                <w:sz w:val="20"/>
              </w:rPr>
              <w:t>Webhook</w:t>
            </w:r>
          </w:p>
        </w:tc>
        <w:tc>
          <w:tcPr>
            <w:tcW w:type="dxa" w:w="5533"/>
          </w:tcPr>
          <w:p>
            <w:pPr>
              <w:spacing w:line="240" w:lineRule="auto" w:after="100" w:before="100"/>
              <w:ind w:firstLine="0"/>
            </w:pPr>
            <w:r>
              <w:rPr>
                <w:b w:val="0"/>
                <w:sz w:val="20"/>
              </w:rPr>
              <w:t>Repetir evento e assinatura inválida; idempotência e rejeição de adulteração.</w:t>
            </w:r>
          </w:p>
        </w:tc>
      </w:tr>
      <w:tr>
        <w:trPr>
          <w:cantSplit/>
        </w:trPr>
        <w:tc>
          <w:tcPr>
            <w:tcW w:type="dxa" w:w="1089"/>
          </w:tcPr>
          <w:p>
            <w:pPr>
              <w:spacing w:line="240" w:lineRule="auto" w:after="100" w:before="100"/>
              <w:ind w:firstLine="0"/>
            </w:pPr>
            <w:r>
              <w:rPr>
                <w:b w:val="0"/>
                <w:sz w:val="20"/>
              </w:rPr>
              <w:t>CT27</w:t>
            </w:r>
          </w:p>
        </w:tc>
        <w:tc>
          <w:tcPr>
            <w:tcW w:type="dxa" w:w="2449"/>
          </w:tcPr>
          <w:p>
            <w:pPr>
              <w:spacing w:line="240" w:lineRule="auto" w:after="100" w:before="100"/>
              <w:ind w:firstLine="0"/>
            </w:pPr>
            <w:r>
              <w:rPr>
                <w:b w:val="0"/>
                <w:sz w:val="20"/>
              </w:rPr>
              <w:t>Páginas públicas</w:t>
            </w:r>
          </w:p>
        </w:tc>
        <w:tc>
          <w:tcPr>
            <w:tcW w:type="dxa" w:w="5533"/>
          </w:tcPr>
          <w:p>
            <w:pPr>
              <w:spacing w:line="240" w:lineRule="auto" w:after="100" w:before="100"/>
              <w:ind w:firstLine="0"/>
            </w:pPr>
            <w:r>
              <w:rPr>
                <w:b w:val="0"/>
                <w:sz w:val="20"/>
              </w:rPr>
              <w:t>Logo e imagens carregam; suporte e cadastro têm destinos válidos.</w:t>
            </w:r>
          </w:p>
        </w:tc>
      </w:tr>
      <w:tr>
        <w:trPr>
          <w:cantSplit/>
        </w:trPr>
        <w:tc>
          <w:tcPr>
            <w:tcW w:type="dxa" w:w="1089"/>
          </w:tcPr>
          <w:p>
            <w:pPr>
              <w:spacing w:line="240" w:lineRule="auto" w:after="100" w:before="100"/>
              <w:ind w:firstLine="0"/>
            </w:pPr>
            <w:r>
              <w:rPr>
                <w:b w:val="0"/>
                <w:sz w:val="20"/>
              </w:rPr>
              <w:t>CT28</w:t>
            </w:r>
          </w:p>
        </w:tc>
        <w:tc>
          <w:tcPr>
            <w:tcW w:type="dxa" w:w="2449"/>
          </w:tcPr>
          <w:p>
            <w:pPr>
              <w:spacing w:line="240" w:lineRule="auto" w:after="100" w:before="100"/>
              <w:ind w:firstLine="0"/>
            </w:pPr>
            <w:r>
              <w:rPr>
                <w:b w:val="0"/>
                <w:sz w:val="20"/>
              </w:rPr>
              <w:t>Carrosséis</w:t>
            </w:r>
          </w:p>
        </w:tc>
        <w:tc>
          <w:tcPr>
            <w:tcW w:type="dxa" w:w="5533"/>
          </w:tcPr>
          <w:p>
            <w:pPr>
              <w:spacing w:line="240" w:lineRule="auto" w:after="100" w:before="100"/>
              <w:ind w:firstLine="0"/>
            </w:pPr>
            <w:r>
              <w:rPr>
                <w:b w:val="0"/>
                <w:sz w:val="20"/>
              </w:rPr>
              <w:t>Percorrer 19 funcionalidades e cinco artigos por botões e teclado; sem mutações.</w:t>
            </w:r>
          </w:p>
        </w:tc>
      </w:tr>
      <w:tr>
        <w:trPr>
          <w:cantSplit/>
        </w:trPr>
        <w:tc>
          <w:tcPr>
            <w:tcW w:type="dxa" w:w="1089"/>
          </w:tcPr>
          <w:p>
            <w:pPr>
              <w:spacing w:line="240" w:lineRule="auto" w:after="100" w:before="100"/>
              <w:ind w:firstLine="0"/>
            </w:pPr>
            <w:r>
              <w:rPr>
                <w:b w:val="0"/>
                <w:sz w:val="20"/>
              </w:rPr>
              <w:t>CT29</w:t>
            </w:r>
          </w:p>
        </w:tc>
        <w:tc>
          <w:tcPr>
            <w:tcW w:type="dxa" w:w="2449"/>
          </w:tcPr>
          <w:p>
            <w:pPr>
              <w:spacing w:line="240" w:lineRule="auto" w:after="100" w:before="100"/>
              <w:ind w:firstLine="0"/>
            </w:pPr>
            <w:r>
              <w:rPr>
                <w:b w:val="0"/>
                <w:sz w:val="20"/>
              </w:rPr>
              <w:t>Responsividade</w:t>
            </w:r>
          </w:p>
        </w:tc>
        <w:tc>
          <w:tcPr>
            <w:tcW w:type="dxa" w:w="5533"/>
          </w:tcPr>
          <w:p>
            <w:pPr>
              <w:spacing w:line="240" w:lineRule="auto" w:after="100" w:before="100"/>
              <w:ind w:firstLine="0"/>
            </w:pPr>
            <w:r>
              <w:rPr>
                <w:b w:val="0"/>
                <w:sz w:val="20"/>
              </w:rPr>
              <w:t>Usar 320, 390 e 1440 px; sem colisão ou excesso de largura, inclusive no gráfico.</w:t>
            </w:r>
          </w:p>
        </w:tc>
      </w:tr>
      <w:tr>
        <w:trPr>
          <w:cantSplit/>
        </w:trPr>
        <w:tc>
          <w:tcPr>
            <w:tcW w:type="dxa" w:w="1089"/>
          </w:tcPr>
          <w:p>
            <w:pPr>
              <w:spacing w:line="240" w:lineRule="auto" w:after="100" w:before="100"/>
              <w:ind w:firstLine="0"/>
            </w:pPr>
            <w:r>
              <w:rPr>
                <w:b w:val="0"/>
                <w:sz w:val="20"/>
              </w:rPr>
              <w:t>CT30</w:t>
            </w:r>
          </w:p>
        </w:tc>
        <w:tc>
          <w:tcPr>
            <w:tcW w:type="dxa" w:w="2449"/>
          </w:tcPr>
          <w:p>
            <w:pPr>
              <w:spacing w:line="240" w:lineRule="auto" w:after="100" w:before="100"/>
              <w:ind w:firstLine="0"/>
            </w:pPr>
            <w:r>
              <w:rPr>
                <w:b w:val="0"/>
                <w:sz w:val="20"/>
              </w:rPr>
              <w:t>Recuperação de erro</w:t>
            </w:r>
          </w:p>
        </w:tc>
        <w:tc>
          <w:tcPr>
            <w:tcW w:type="dxa" w:w="5533"/>
          </w:tcPr>
          <w:p>
            <w:pPr>
              <w:spacing w:line="240" w:lineRule="auto" w:after="100" w:before="100"/>
              <w:ind w:firstLine="0"/>
            </w:pPr>
            <w:r>
              <w:rPr>
                <w:b w:val="0"/>
                <w:sz w:val="20"/>
              </w:rPr>
              <w:t>Simular falha de consulta; mostrar tentativa novamente sem derrubar a página.</w:t>
            </w:r>
          </w:p>
        </w:tc>
      </w:tr>
      <w:tr>
        <w:trPr>
          <w:cantSplit/>
        </w:trPr>
        <w:tc>
          <w:tcPr>
            <w:tcW w:type="dxa" w:w="1089"/>
          </w:tcPr>
          <w:p>
            <w:pPr>
              <w:spacing w:line="240" w:lineRule="auto" w:after="100" w:before="100"/>
              <w:ind w:firstLine="0"/>
            </w:pPr>
            <w:r>
              <w:rPr>
                <w:b w:val="0"/>
                <w:sz w:val="20"/>
              </w:rPr>
              <w:t>CT31</w:t>
            </w:r>
          </w:p>
        </w:tc>
        <w:tc>
          <w:tcPr>
            <w:tcW w:type="dxa" w:w="2449"/>
          </w:tcPr>
          <w:p>
            <w:pPr>
              <w:spacing w:line="240" w:lineRule="auto" w:after="100" w:before="100"/>
              <w:ind w:firstLine="0"/>
            </w:pPr>
            <w:r>
              <w:rPr>
                <w:b w:val="0"/>
                <w:sz w:val="20"/>
              </w:rPr>
              <w:t>Depoimentos</w:t>
            </w:r>
          </w:p>
        </w:tc>
        <w:tc>
          <w:tcPr>
            <w:tcW w:type="dxa" w:w="5533"/>
          </w:tcPr>
          <w:p>
            <w:pPr>
              <w:spacing w:line="240" w:lineRule="auto" w:after="100" w:before="100"/>
              <w:ind w:firstLine="0"/>
            </w:pPr>
            <w:r>
              <w:rPr>
                <w:b w:val="0"/>
                <w:sz w:val="20"/>
              </w:rPr>
              <w:t>Publicar somente relato real autorizado; não substituir falha por recomendação fictícia.</w:t>
            </w:r>
          </w:p>
        </w:tc>
      </w:tr>
      <w:tr>
        <w:trPr>
          <w:cantSplit/>
        </w:trPr>
        <w:tc>
          <w:tcPr>
            <w:tcW w:type="dxa" w:w="1089"/>
          </w:tcPr>
          <w:p>
            <w:pPr>
              <w:keepNext/>
              <w:spacing w:line="240" w:lineRule="auto" w:after="100" w:before="100"/>
              <w:ind w:firstLine="0"/>
            </w:pPr>
            <w:r>
              <w:rPr>
                <w:b w:val="0"/>
                <w:sz w:val="20"/>
              </w:rPr>
              <w:t>CT32</w:t>
            </w:r>
          </w:p>
        </w:tc>
        <w:tc>
          <w:tcPr>
            <w:tcW w:type="dxa" w:w="2449"/>
          </w:tcPr>
          <w:p>
            <w:pPr>
              <w:keepNext/>
              <w:spacing w:line="240" w:lineRule="auto" w:after="100" w:before="100"/>
              <w:ind w:firstLine="0"/>
            </w:pPr>
            <w:r>
              <w:rPr>
                <w:b w:val="0"/>
                <w:sz w:val="20"/>
              </w:rPr>
              <w:t>Backup</w:t>
            </w:r>
          </w:p>
        </w:tc>
        <w:tc>
          <w:tcPr>
            <w:tcW w:type="dxa" w:w="5533"/>
          </w:tcPr>
          <w:p>
            <w:pPr>
              <w:keepNext/>
              <w:spacing w:line="240" w:lineRule="auto" w:after="100" w:before="100"/>
              <w:ind w:firstLine="0"/>
            </w:pPr>
            <w:r>
              <w:rPr>
                <w:b w:val="0"/>
                <w:sz w:val="20"/>
              </w:rPr>
              <w:t>Cifrar dump e restaurar em banco descartável; conferir dados e salvaguardas.</w:t>
            </w:r>
          </w:p>
        </w:tc>
      </w:tr>
    </w:tbl>
    <w:p>
      <w:pPr>
        <w:spacing w:line="240" w:lineRule="auto"/>
        <w:ind w:firstLine="0"/>
        <w:jc w:val="center"/>
      </w:pPr>
      <w:r>
        <w:rPr>
          <w:sz w:val="20"/>
        </w:rPr>
        <w:t>Fonte: elaboração dos autores com base no código do Nexly (2026).</w:t>
      </w:r>
    </w:p>
    <w:p>
      <w:bookmarkStart w:id="51" w:name="sec51"/>
      <w:pPr>
        <w:pStyle w:val="Heading2"/>
      </w:pPr>
      <w:r>
        <w:t>11.3 Como executar</w:t>
      </w:r>
      <w:bookmarkEnd w:id="51"/>
    </w:p>
    <w:p>
      <w:pPr>
        <w:spacing w:line="240" w:lineRule="auto"/>
        <w:ind w:firstLine="0"/>
      </w:pPr>
      <w:r>
        <w:rPr>
          <w:rFonts w:ascii="Consolas" w:hAnsi="Consolas"/>
          <w:sz w:val="18"/>
        </w:rPr>
        <w:t>npm test --workspace @nexly/api -- --runInBand dashboard</w:t>
      </w:r>
    </w:p>
    <w:p>
      <w:pPr>
        <w:spacing w:line="240" w:lineRule="auto"/>
        <w:ind w:firstLine="0"/>
      </w:pPr>
      <w:r>
        <w:rPr>
          <w:rFonts w:ascii="Consolas" w:hAnsi="Consolas"/>
          <w:sz w:val="18"/>
        </w:rPr>
        <w:t>npm test --workspace @nexly/api -- --runInBand rotation-response recuperacao.service token.service</w:t>
      </w:r>
    </w:p>
    <w:p>
      <w:pPr>
        <w:spacing w:line="240" w:lineRule="auto"/>
        <w:ind w:firstLine="0"/>
      </w:pPr>
      <w:r>
        <w:rPr>
          <w:rFonts w:ascii="Consolas" w:hAnsi="Consolas"/>
          <w:sz w:val="18"/>
        </w:rPr>
        <w:t>npm run typecheck:e2e</w:t>
      </w:r>
    </w:p>
    <w:p>
      <w:pPr>
        <w:spacing w:line="240" w:lineRule="auto"/>
        <w:ind w:firstLine="0"/>
      </w:pPr>
      <w:r>
        <w:rPr>
          <w:rFonts w:ascii="Consolas" w:hAnsi="Consolas"/>
          <w:sz w:val="18"/>
        </w:rPr>
        <w:t>npx playwright test e2e/smoke/conversion.spec.ts e2e/smoke/dashboard-alerts.spec.ts --workers=1</w:t>
      </w:r>
    </w:p>
    <w:p>
      <w:pPr>
        <w:jc w:val="both"/>
      </w:pPr>
      <w:r>
        <w:t>O CI fornece PostgreSQL e Redis de teste, prepara schema, seed, builds e Chromium. Localmente, prepare as mesmas dependências e as variáveis das fixtures. As proteções dos scripts devem confirmar banco local ou descartável antes de cenários que alteram dados.</w:t>
      </w:r>
    </w:p>
    <w:p>
      <w:bookmarkStart w:id="52" w:name="sec52"/>
      <w:pPr>
        <w:pStyle w:val="Heading2"/>
      </w:pPr>
      <w:r>
        <w:t>11.4 Registro de evidências</w:t>
      </w:r>
      <w:bookmarkEnd w:id="52"/>
    </w:p>
    <w:p>
      <w:pPr>
        <w:jc w:val="both"/>
      </w:pPr>
      <w:r>
        <w:t>Registre commit, data, ambiente, comando, resultado e eventual falha. Falha deve ser corrigida ou permanecer identificada como pendência. Capturas, traces, exports e relatórios vão para test-results ou os diretórios ignorados do Playwright, sem publicação de conteúdo de clientes.</w:t>
      </w:r>
    </w:p>
    <w:p>
      <w:pPr>
        <w:jc w:val="both"/>
      </w:pPr>
      <w:r>
        <w:t>Na revisão de 21–22/10/2026, passaram 14 testes de dashboard, 34 de recuperação/rotação/token e 28 cenários de navegador selecionados após correções. Dez verificações adicionais das páginas públicas em produção, em desktop e celular, confirmaram imagens e navegação sem erro de JavaScript. Esses números descrevem execuções daquela revisão, sem representar o tamanho permanente de toda a suíte.</w:t>
      </w:r>
    </w:p>
    <w:p>
      <w:pPr>
        <w:jc w:val="both"/>
      </w:pPr>
      <w:r>
        <w:t>O CI completo registrou 101 de 102 cenários aprovados antes de corrigir um seletor antigo: a seção de primeiros passos passou a exigir expansão. O cenário comercial corrigido passou localmente. Em 23/10, foi conferido também o resultado do workflow E2E do commit 7b82af9: concluído com sucesso. Os testes da API e Semgrep desse commit também passaram; o audit das ferramentas permaneceu com falha. Consulte o CI atual para resultados de versões posteriores.</w:t>
      </w:r>
    </w:p>
    <w:p>
      <w:bookmarkStart w:id="53" w:name="sec53"/>
      <w:pPr>
        <w:pStyle w:val="Heading2"/>
      </w:pPr>
      <w:r>
        <w:t>11.5 Critérios de liberação</w:t>
      </w:r>
      <w:bookmarkEnd w:id="53"/>
    </w:p>
    <w:p>
      <w:pPr>
        <w:jc w:val="both"/>
      </w:pPr>
      <w:r>
        <w:t>Identidade visual consistente, jornadas afetadas verificadas, regras financeiras e de estoque preservadas, isolamento e permissões respeitados, migrações coerentes, segredos ausentes do diff, build e verificações relevantes aprovados. A liberação comercial também depende das configurações externas descritas em Operação.</w:t>
      </w:r>
    </w:p>
    <w:p>
      <w:bookmarkStart w:id="54" w:name="sec54"/>
      <w:pPr>
        <w:pStyle w:val="Heading2"/>
      </w:pPr>
      <w:r>
        <w:t>11.6 Homologação detalhada de assinaturas</w:t>
      </w:r>
      <w:bookmarkEnd w:id="54"/>
    </w:p>
    <w:p>
      <w:pPr>
        <w:keepNext/>
        <w:spacing w:line="240" w:lineRule="auto" w:before="120" w:after="120"/>
        <w:ind w:firstLine="0"/>
        <w:jc w:val="center"/>
      </w:pPr>
      <w:r>
        <w:rPr>
          <w:sz w:val="20"/>
        </w:rPr>
        <w:t>Quadro 10 – Matriz de testes GOT</w:t>
      </w:r>
    </w:p>
    <w:tbl>
      <w:tblPr>
        <w:tblStyle w:val="TableGrid"/>
        <w:tblW w:type="auto" w:w="0"/>
        <w:tblLayout w:type="fixed"/>
        <w:tblLook w:firstColumn="1" w:firstRow="1" w:lastColumn="0" w:lastRow="0" w:noHBand="0" w:noVBand="1" w:val="04A0"/>
      </w:tblPr>
      <w:tblGrid>
        <w:gridCol w:w="1089"/>
        <w:gridCol w:w="2449"/>
        <w:gridCol w:w="5533"/>
      </w:tblGrid>
      <w:tr>
        <w:trPr>
          <w:tblHeader/>
          <w:cantSplit/>
        </w:trPr>
        <w:tc>
          <w:tcPr>
            <w:tcW w:type="dxa" w:w="1089"/>
          </w:tcPr>
          <w:p>
            <w:pPr>
              <w:spacing w:line="240" w:lineRule="auto" w:after="100" w:before="100"/>
              <w:ind w:firstLine="0"/>
            </w:pPr>
            <w:r>
              <w:rPr>
                <w:b/>
                <w:sz w:val="20"/>
              </w:rPr>
              <w:t>ID</w:t>
            </w:r>
          </w:p>
        </w:tc>
        <w:tc>
          <w:tcPr>
            <w:tcW w:type="dxa" w:w="2449"/>
          </w:tcPr>
          <w:p>
            <w:pPr>
              <w:spacing w:line="240" w:lineRule="auto" w:after="100" w:before="100"/>
              <w:ind w:firstLine="0"/>
            </w:pPr>
            <w:r>
              <w:rPr>
                <w:b/>
                <w:sz w:val="20"/>
              </w:rPr>
              <w:t>Operação</w:t>
            </w:r>
          </w:p>
        </w:tc>
        <w:tc>
          <w:tcPr>
            <w:tcW w:type="dxa" w:w="5533"/>
          </w:tcPr>
          <w:p>
            <w:pPr>
              <w:spacing w:line="240" w:lineRule="auto" w:after="100" w:before="100"/>
              <w:ind w:firstLine="0"/>
            </w:pPr>
            <w:r>
              <w:rPr>
                <w:b/>
                <w:sz w:val="20"/>
              </w:rPr>
              <w:t>Procedimento e resultado esperado</w:t>
            </w:r>
          </w:p>
        </w:tc>
      </w:tr>
      <w:tr>
        <w:trPr>
          <w:cantSplit/>
        </w:trPr>
        <w:tc>
          <w:tcPr>
            <w:tcW w:type="dxa" w:w="1089"/>
          </w:tcPr>
          <w:p>
            <w:pPr>
              <w:spacing w:line="240" w:lineRule="auto" w:after="100" w:before="100"/>
              <w:ind w:firstLine="0"/>
            </w:pPr>
            <w:r>
              <w:rPr>
                <w:b w:val="0"/>
                <w:sz w:val="20"/>
              </w:rPr>
              <w:t>PG01</w:t>
            </w:r>
          </w:p>
        </w:tc>
        <w:tc>
          <w:tcPr>
            <w:tcW w:type="dxa" w:w="2449"/>
          </w:tcPr>
          <w:p>
            <w:pPr>
              <w:spacing w:line="240" w:lineRule="auto" w:after="100" w:before="100"/>
              <w:ind w:firstLine="0"/>
            </w:pPr>
            <w:r>
              <w:rPr>
                <w:b w:val="0"/>
                <w:sz w:val="20"/>
              </w:rPr>
              <w:t>Checkout aprovado</w:t>
            </w:r>
          </w:p>
        </w:tc>
        <w:tc>
          <w:tcPr>
            <w:tcW w:type="dxa" w:w="5533"/>
          </w:tcPr>
          <w:p>
            <w:pPr>
              <w:spacing w:line="240" w:lineRule="auto" w:after="100" w:before="100"/>
              <w:ind w:firstLine="0"/>
            </w:pPr>
            <w:r>
              <w:rPr>
                <w:b w:val="0"/>
                <w:sz w:val="20"/>
              </w:rPr>
              <w:t>No Sandbox, conferir plano, valor e ciclo; comprovar estado pela API e pelo Stripe.</w:t>
            </w:r>
          </w:p>
        </w:tc>
      </w:tr>
      <w:tr>
        <w:trPr>
          <w:cantSplit/>
        </w:trPr>
        <w:tc>
          <w:tcPr>
            <w:tcW w:type="dxa" w:w="1089"/>
          </w:tcPr>
          <w:p>
            <w:pPr>
              <w:spacing w:line="240" w:lineRule="auto" w:after="100" w:before="100"/>
              <w:ind w:firstLine="0"/>
            </w:pPr>
            <w:r>
              <w:rPr>
                <w:b w:val="0"/>
                <w:sz w:val="20"/>
              </w:rPr>
              <w:t>PG02</w:t>
            </w:r>
          </w:p>
        </w:tc>
        <w:tc>
          <w:tcPr>
            <w:tcW w:type="dxa" w:w="2449"/>
          </w:tcPr>
          <w:p>
            <w:pPr>
              <w:spacing w:line="240" w:lineRule="auto" w:after="100" w:before="100"/>
              <w:ind w:firstLine="0"/>
            </w:pPr>
            <w:r>
              <w:rPr>
                <w:b w:val="0"/>
                <w:sz w:val="20"/>
              </w:rPr>
              <w:t>Retorno forjado</w:t>
            </w:r>
          </w:p>
        </w:tc>
        <w:tc>
          <w:tcPr>
            <w:tcW w:type="dxa" w:w="5533"/>
          </w:tcPr>
          <w:p>
            <w:pPr>
              <w:spacing w:line="240" w:lineRule="auto" w:after="100" w:before="100"/>
              <w:ind w:firstLine="0"/>
            </w:pPr>
            <w:r>
              <w:rPr>
                <w:b w:val="0"/>
                <w:sz w:val="20"/>
              </w:rPr>
              <w:t>Abrir retorno de sucesso sem pagar; não conceder plano comercial.</w:t>
            </w:r>
          </w:p>
        </w:tc>
      </w:tr>
      <w:tr>
        <w:trPr>
          <w:cantSplit/>
        </w:trPr>
        <w:tc>
          <w:tcPr>
            <w:tcW w:type="dxa" w:w="1089"/>
          </w:tcPr>
          <w:p>
            <w:pPr>
              <w:spacing w:line="240" w:lineRule="auto" w:after="100" w:before="100"/>
              <w:ind w:firstLine="0"/>
            </w:pPr>
            <w:r>
              <w:rPr>
                <w:b w:val="0"/>
                <w:sz w:val="20"/>
              </w:rPr>
              <w:t>PG03</w:t>
            </w:r>
          </w:p>
        </w:tc>
        <w:tc>
          <w:tcPr>
            <w:tcW w:type="dxa" w:w="2449"/>
          </w:tcPr>
          <w:p>
            <w:pPr>
              <w:spacing w:line="240" w:lineRule="auto" w:after="100" w:before="100"/>
              <w:ind w:firstLine="0"/>
            </w:pPr>
            <w:r>
              <w:rPr>
                <w:b w:val="0"/>
                <w:sz w:val="20"/>
              </w:rPr>
              <w:t>Cancelamento do checkout</w:t>
            </w:r>
          </w:p>
        </w:tc>
        <w:tc>
          <w:tcPr>
            <w:tcW w:type="dxa" w:w="5533"/>
          </w:tcPr>
          <w:p>
            <w:pPr>
              <w:spacing w:line="240" w:lineRule="auto" w:after="100" w:before="100"/>
              <w:ind w:firstLine="0"/>
            </w:pPr>
            <w:r>
              <w:rPr>
                <w:b w:val="0"/>
                <w:sz w:val="20"/>
              </w:rPr>
              <w:t>Abandonar contratação; preservar ausência de assinatura paga.</w:t>
            </w:r>
          </w:p>
        </w:tc>
      </w:tr>
      <w:tr>
        <w:trPr>
          <w:cantSplit/>
        </w:trPr>
        <w:tc>
          <w:tcPr>
            <w:tcW w:type="dxa" w:w="1089"/>
          </w:tcPr>
          <w:p>
            <w:pPr>
              <w:spacing w:line="240" w:lineRule="auto" w:after="100" w:before="100"/>
              <w:ind w:firstLine="0"/>
            </w:pPr>
            <w:r>
              <w:rPr>
                <w:b w:val="0"/>
                <w:sz w:val="20"/>
              </w:rPr>
              <w:t>PG04</w:t>
            </w:r>
          </w:p>
        </w:tc>
        <w:tc>
          <w:tcPr>
            <w:tcW w:type="dxa" w:w="2449"/>
          </w:tcPr>
          <w:p>
            <w:pPr>
              <w:spacing w:line="240" w:lineRule="auto" w:after="100" w:before="100"/>
              <w:ind w:firstLine="0"/>
            </w:pPr>
            <w:r>
              <w:rPr>
                <w:b w:val="0"/>
                <w:sz w:val="20"/>
              </w:rPr>
              <w:t>Cliques simultâneos</w:t>
            </w:r>
          </w:p>
        </w:tc>
        <w:tc>
          <w:tcPr>
            <w:tcW w:type="dxa" w:w="5533"/>
          </w:tcPr>
          <w:p>
            <w:pPr>
              <w:spacing w:line="240" w:lineRule="auto" w:after="100" w:before="100"/>
              <w:ind w:firstLine="0"/>
            </w:pPr>
            <w:r>
              <w:rPr>
                <w:b w:val="0"/>
                <w:sz w:val="20"/>
              </w:rPr>
              <w:t>Repetir contratação; reutilizar sessão aberta do mesmo plano e não duplicar assinatura.</w:t>
            </w:r>
          </w:p>
        </w:tc>
      </w:tr>
      <w:tr>
        <w:trPr>
          <w:cantSplit/>
        </w:trPr>
        <w:tc>
          <w:tcPr>
            <w:tcW w:type="dxa" w:w="1089"/>
          </w:tcPr>
          <w:p>
            <w:pPr>
              <w:spacing w:line="240" w:lineRule="auto" w:after="100" w:before="100"/>
              <w:ind w:firstLine="0"/>
            </w:pPr>
            <w:r>
              <w:rPr>
                <w:b w:val="0"/>
                <w:sz w:val="20"/>
              </w:rPr>
              <w:t>PG05</w:t>
            </w:r>
          </w:p>
        </w:tc>
        <w:tc>
          <w:tcPr>
            <w:tcW w:type="dxa" w:w="2449"/>
          </w:tcPr>
          <w:p>
            <w:pPr>
              <w:spacing w:line="240" w:lineRule="auto" w:after="100" w:before="100"/>
              <w:ind w:firstLine="0"/>
            </w:pPr>
            <w:r>
              <w:rPr>
                <w:b w:val="0"/>
                <w:sz w:val="20"/>
              </w:rPr>
              <w:t>Timeout</w:t>
            </w:r>
          </w:p>
        </w:tc>
        <w:tc>
          <w:tcPr>
            <w:tcW w:type="dxa" w:w="5533"/>
          </w:tcPr>
          <w:p>
            <w:pPr>
              <w:spacing w:line="240" w:lineRule="auto" w:after="100" w:before="100"/>
              <w:ind w:firstLine="0"/>
            </w:pPr>
            <w:r>
              <w:rPr>
                <w:b w:val="0"/>
                <w:sz w:val="20"/>
              </w:rPr>
              <w:t>Simular interrupção após criação remota; recuperar tentativa com a mesma chave idempotente.</w:t>
            </w:r>
          </w:p>
        </w:tc>
      </w:tr>
      <w:tr>
        <w:trPr>
          <w:cantSplit/>
        </w:trPr>
        <w:tc>
          <w:tcPr>
            <w:tcW w:type="dxa" w:w="1089"/>
          </w:tcPr>
          <w:p>
            <w:pPr>
              <w:spacing w:line="240" w:lineRule="auto" w:after="100" w:before="100"/>
              <w:ind w:firstLine="0"/>
            </w:pPr>
            <w:r>
              <w:rPr>
                <w:b w:val="0"/>
                <w:sz w:val="20"/>
              </w:rPr>
              <w:t>PG06</w:t>
            </w:r>
          </w:p>
        </w:tc>
        <w:tc>
          <w:tcPr>
            <w:tcW w:type="dxa" w:w="2449"/>
          </w:tcPr>
          <w:p>
            <w:pPr>
              <w:spacing w:line="240" w:lineRule="auto" w:after="100" w:before="100"/>
              <w:ind w:firstLine="0"/>
            </w:pPr>
            <w:r>
              <w:rPr>
                <w:b w:val="0"/>
                <w:sz w:val="20"/>
              </w:rPr>
              <w:t>Webhook adulterado</w:t>
            </w:r>
          </w:p>
        </w:tc>
        <w:tc>
          <w:tcPr>
            <w:tcW w:type="dxa" w:w="5533"/>
          </w:tcPr>
          <w:p>
            <w:pPr>
              <w:spacing w:line="240" w:lineRule="auto" w:after="100" w:before="100"/>
              <w:ind w:firstLine="0"/>
            </w:pPr>
            <w:r>
              <w:rPr>
                <w:b w:val="0"/>
                <w:sz w:val="20"/>
              </w:rPr>
              <w:t>Alterar corpo ou assinatura; rejeitar sem gravar evento ou plano.</w:t>
            </w:r>
          </w:p>
        </w:tc>
      </w:tr>
      <w:tr>
        <w:trPr>
          <w:cantSplit/>
        </w:trPr>
        <w:tc>
          <w:tcPr>
            <w:tcW w:type="dxa" w:w="1089"/>
          </w:tcPr>
          <w:p>
            <w:pPr>
              <w:spacing w:line="240" w:lineRule="auto" w:after="100" w:before="100"/>
              <w:ind w:firstLine="0"/>
            </w:pPr>
            <w:r>
              <w:rPr>
                <w:b w:val="0"/>
                <w:sz w:val="20"/>
              </w:rPr>
              <w:t>PG07</w:t>
            </w:r>
          </w:p>
        </w:tc>
        <w:tc>
          <w:tcPr>
            <w:tcW w:type="dxa" w:w="2449"/>
          </w:tcPr>
          <w:p>
            <w:pPr>
              <w:spacing w:line="240" w:lineRule="auto" w:after="100" w:before="100"/>
              <w:ind w:firstLine="0"/>
            </w:pPr>
            <w:r>
              <w:rPr>
                <w:b w:val="0"/>
                <w:sz w:val="20"/>
              </w:rPr>
              <w:t>Evento repetido</w:t>
            </w:r>
          </w:p>
        </w:tc>
        <w:tc>
          <w:tcPr>
            <w:tcW w:type="dxa" w:w="5533"/>
          </w:tcPr>
          <w:p>
            <w:pPr>
              <w:spacing w:line="240" w:lineRule="auto" w:after="100" w:before="100"/>
              <w:ind w:firstLine="0"/>
            </w:pPr>
            <w:r>
              <w:rPr>
                <w:b w:val="0"/>
                <w:sz w:val="20"/>
              </w:rPr>
              <w:t>Reentregar evento válido; aplicar efeito uma única vez.</w:t>
            </w:r>
          </w:p>
        </w:tc>
      </w:tr>
      <w:tr>
        <w:trPr>
          <w:cantSplit/>
        </w:trPr>
        <w:tc>
          <w:tcPr>
            <w:tcW w:type="dxa" w:w="1089"/>
          </w:tcPr>
          <w:p>
            <w:pPr>
              <w:spacing w:line="240" w:lineRule="auto" w:after="100" w:before="100"/>
              <w:ind w:firstLine="0"/>
            </w:pPr>
            <w:r>
              <w:rPr>
                <w:b w:val="0"/>
                <w:sz w:val="20"/>
              </w:rPr>
              <w:t>PG08</w:t>
            </w:r>
          </w:p>
        </w:tc>
        <w:tc>
          <w:tcPr>
            <w:tcW w:type="dxa" w:w="2449"/>
          </w:tcPr>
          <w:p>
            <w:pPr>
              <w:spacing w:line="240" w:lineRule="auto" w:after="100" w:before="100"/>
              <w:ind w:firstLine="0"/>
            </w:pPr>
            <w:r>
              <w:rPr>
                <w:b w:val="0"/>
                <w:sz w:val="20"/>
              </w:rPr>
              <w:t>Evento antigo</w:t>
            </w:r>
          </w:p>
        </w:tc>
        <w:tc>
          <w:tcPr>
            <w:tcW w:type="dxa" w:w="5533"/>
          </w:tcPr>
          <w:p>
            <w:pPr>
              <w:spacing w:line="240" w:lineRule="auto" w:after="100" w:before="100"/>
              <w:ind w:firstLine="0"/>
            </w:pPr>
            <w:r>
              <w:rPr>
                <w:b w:val="0"/>
                <w:sz w:val="20"/>
              </w:rPr>
              <w:t>Enviar aviso antigo após cancelamento; consultar estado atual sem reativação indevida.</w:t>
            </w:r>
          </w:p>
        </w:tc>
      </w:tr>
      <w:tr>
        <w:trPr>
          <w:cantSplit/>
        </w:trPr>
        <w:tc>
          <w:tcPr>
            <w:tcW w:type="dxa" w:w="1089"/>
          </w:tcPr>
          <w:p>
            <w:pPr>
              <w:spacing w:line="240" w:lineRule="auto" w:after="100" w:before="100"/>
              <w:ind w:firstLine="0"/>
            </w:pPr>
            <w:r>
              <w:rPr>
                <w:b w:val="0"/>
                <w:sz w:val="20"/>
              </w:rPr>
              <w:t>PG09</w:t>
            </w:r>
          </w:p>
        </w:tc>
        <w:tc>
          <w:tcPr>
            <w:tcW w:type="dxa" w:w="2449"/>
          </w:tcPr>
          <w:p>
            <w:pPr>
              <w:spacing w:line="240" w:lineRule="auto" w:after="100" w:before="100"/>
              <w:ind w:firstLine="0"/>
            </w:pPr>
            <w:r>
              <w:rPr>
                <w:b w:val="0"/>
                <w:sz w:val="20"/>
              </w:rPr>
              <w:t>Ambiente incompatível</w:t>
            </w:r>
          </w:p>
        </w:tc>
        <w:tc>
          <w:tcPr>
            <w:tcW w:type="dxa" w:w="5533"/>
          </w:tcPr>
          <w:p>
            <w:pPr>
              <w:spacing w:line="240" w:lineRule="auto" w:after="100" w:before="100"/>
              <w:ind w:firstLine="0"/>
            </w:pPr>
            <w:r>
              <w:rPr>
                <w:b w:val="0"/>
                <w:sz w:val="20"/>
              </w:rPr>
              <w:t>Enviar evento de teste ao modo live; não alterar acesso comercial.</w:t>
            </w:r>
          </w:p>
        </w:tc>
      </w:tr>
      <w:tr>
        <w:trPr>
          <w:cantSplit/>
        </w:trPr>
        <w:tc>
          <w:tcPr>
            <w:tcW w:type="dxa" w:w="1089"/>
          </w:tcPr>
          <w:p>
            <w:pPr>
              <w:spacing w:line="240" w:lineRule="auto" w:after="100" w:before="100"/>
              <w:ind w:firstLine="0"/>
            </w:pPr>
            <w:r>
              <w:rPr>
                <w:b w:val="0"/>
                <w:sz w:val="20"/>
              </w:rPr>
              <w:t>PG10</w:t>
            </w:r>
          </w:p>
        </w:tc>
        <w:tc>
          <w:tcPr>
            <w:tcW w:type="dxa" w:w="2449"/>
          </w:tcPr>
          <w:p>
            <w:pPr>
              <w:spacing w:line="240" w:lineRule="auto" w:after="100" w:before="100"/>
              <w:ind w:firstLine="0"/>
            </w:pPr>
            <w:r>
              <w:rPr>
                <w:b w:val="0"/>
                <w:sz w:val="20"/>
              </w:rPr>
              <w:t>Autorização</w:t>
            </w:r>
          </w:p>
        </w:tc>
        <w:tc>
          <w:tcPr>
            <w:tcW w:type="dxa" w:w="5533"/>
          </w:tcPr>
          <w:p>
            <w:pPr>
              <w:spacing w:line="240" w:lineRule="auto" w:after="100" w:before="100"/>
              <w:ind w:firstLine="0"/>
            </w:pPr>
            <w:r>
              <w:rPr>
                <w:b w:val="0"/>
                <w:sz w:val="20"/>
              </w:rPr>
              <w:t>Outro perfil ou empresa não administra vínculo de cobrança alheio.</w:t>
            </w:r>
          </w:p>
        </w:tc>
      </w:tr>
      <w:tr>
        <w:trPr>
          <w:cantSplit/>
        </w:trPr>
        <w:tc>
          <w:tcPr>
            <w:tcW w:type="dxa" w:w="1089"/>
          </w:tcPr>
          <w:p>
            <w:pPr>
              <w:spacing w:line="240" w:lineRule="auto" w:after="100" w:before="100"/>
              <w:ind w:firstLine="0"/>
            </w:pPr>
            <w:r>
              <w:rPr>
                <w:b w:val="0"/>
                <w:sz w:val="20"/>
              </w:rPr>
              <w:t>PG11</w:t>
            </w:r>
          </w:p>
        </w:tc>
        <w:tc>
          <w:tcPr>
            <w:tcW w:type="dxa" w:w="2449"/>
          </w:tcPr>
          <w:p>
            <w:pPr>
              <w:spacing w:line="240" w:lineRule="auto" w:after="100" w:before="100"/>
              <w:ind w:firstLine="0"/>
            </w:pPr>
            <w:r>
              <w:rPr>
                <w:b w:val="0"/>
                <w:sz w:val="20"/>
              </w:rPr>
              <w:t>Oferta divergente</w:t>
            </w:r>
          </w:p>
        </w:tc>
        <w:tc>
          <w:tcPr>
            <w:tcW w:type="dxa" w:w="5533"/>
          </w:tcPr>
          <w:p>
            <w:pPr>
              <w:spacing w:line="240" w:lineRule="auto" w:after="100" w:before="100"/>
              <w:ind w:firstLine="0"/>
            </w:pPr>
            <w:r>
              <w:rPr>
                <w:b w:val="0"/>
                <w:sz w:val="20"/>
              </w:rPr>
              <w:t>Alterar preço, moeda, quantidade ou ciclo; rejeitar oferta não reconhecida.</w:t>
            </w:r>
          </w:p>
        </w:tc>
      </w:tr>
      <w:tr>
        <w:trPr>
          <w:cantSplit/>
        </w:trPr>
        <w:tc>
          <w:tcPr>
            <w:tcW w:type="dxa" w:w="1089"/>
          </w:tcPr>
          <w:p>
            <w:pPr>
              <w:spacing w:line="240" w:lineRule="auto" w:after="100" w:before="100"/>
              <w:ind w:firstLine="0"/>
            </w:pPr>
            <w:r>
              <w:rPr>
                <w:b w:val="0"/>
                <w:sz w:val="20"/>
              </w:rPr>
              <w:t>PG12</w:t>
            </w:r>
          </w:p>
        </w:tc>
        <w:tc>
          <w:tcPr>
            <w:tcW w:type="dxa" w:w="2449"/>
          </w:tcPr>
          <w:p>
            <w:pPr>
              <w:spacing w:line="240" w:lineRule="auto" w:after="100" w:before="100"/>
              <w:ind w:firstLine="0"/>
            </w:pPr>
            <w:r>
              <w:rPr>
                <w:b w:val="0"/>
                <w:sz w:val="20"/>
              </w:rPr>
              <w:t>Fatura pendente</w:t>
            </w:r>
          </w:p>
        </w:tc>
        <w:tc>
          <w:tcPr>
            <w:tcW w:type="dxa" w:w="5533"/>
          </w:tcPr>
          <w:p>
            <w:pPr>
              <w:spacing w:line="240" w:lineRule="auto" w:after="100" w:before="100"/>
              <w:ind w:firstLine="0"/>
            </w:pPr>
            <w:r>
              <w:rPr>
                <w:b w:val="0"/>
                <w:sz w:val="20"/>
              </w:rPr>
              <w:t>Assinatura active com fatura não paga não concede acesso novo.</w:t>
            </w:r>
          </w:p>
        </w:tc>
      </w:tr>
      <w:tr>
        <w:trPr>
          <w:cantSplit/>
        </w:trPr>
        <w:tc>
          <w:tcPr>
            <w:tcW w:type="dxa" w:w="1089"/>
          </w:tcPr>
          <w:p>
            <w:pPr>
              <w:spacing w:line="240" w:lineRule="auto" w:after="100" w:before="100"/>
              <w:ind w:firstLine="0"/>
            </w:pPr>
            <w:r>
              <w:rPr>
                <w:b w:val="0"/>
                <w:sz w:val="20"/>
              </w:rPr>
              <w:t>PG13</w:t>
            </w:r>
          </w:p>
        </w:tc>
        <w:tc>
          <w:tcPr>
            <w:tcW w:type="dxa" w:w="2449"/>
          </w:tcPr>
          <w:p>
            <w:pPr>
              <w:spacing w:line="240" w:lineRule="auto" w:after="100" w:before="100"/>
              <w:ind w:firstLine="0"/>
            </w:pPr>
            <w:r>
              <w:rPr>
                <w:b w:val="0"/>
                <w:sz w:val="20"/>
              </w:rPr>
              <w:t>Período vencido</w:t>
            </w:r>
          </w:p>
        </w:tc>
        <w:tc>
          <w:tcPr>
            <w:tcW w:type="dxa" w:w="5533"/>
          </w:tcPr>
          <w:p>
            <w:pPr>
              <w:spacing w:line="240" w:lineRule="auto" w:after="100" w:before="100"/>
              <w:ind w:firstLine="0"/>
            </w:pPr>
            <w:r>
              <w:rPr>
                <w:b w:val="0"/>
                <w:sz w:val="20"/>
              </w:rPr>
              <w:t>Fatura antiga paga não libera período já encerrado.</w:t>
            </w:r>
          </w:p>
        </w:tc>
      </w:tr>
      <w:tr>
        <w:trPr>
          <w:cantSplit/>
        </w:trPr>
        <w:tc>
          <w:tcPr>
            <w:tcW w:type="dxa" w:w="1089"/>
          </w:tcPr>
          <w:p>
            <w:pPr>
              <w:spacing w:line="240" w:lineRule="auto" w:after="100" w:before="100"/>
              <w:ind w:firstLine="0"/>
            </w:pPr>
            <w:r>
              <w:rPr>
                <w:b w:val="0"/>
                <w:sz w:val="20"/>
              </w:rPr>
              <w:t>PG14</w:t>
            </w:r>
          </w:p>
        </w:tc>
        <w:tc>
          <w:tcPr>
            <w:tcW w:type="dxa" w:w="2449"/>
          </w:tcPr>
          <w:p>
            <w:pPr>
              <w:spacing w:line="240" w:lineRule="auto" w:after="100" w:before="100"/>
              <w:ind w:firstLine="0"/>
            </w:pPr>
            <w:r>
              <w:rPr>
                <w:b w:val="0"/>
                <w:sz w:val="20"/>
              </w:rPr>
              <w:t>Cancelamento agendado</w:t>
            </w:r>
          </w:p>
        </w:tc>
        <w:tc>
          <w:tcPr>
            <w:tcW w:type="dxa" w:w="5533"/>
          </w:tcPr>
          <w:p>
            <w:pPr>
              <w:spacing w:line="240" w:lineRule="auto" w:after="100" w:before="100"/>
              <w:ind w:firstLine="0"/>
            </w:pPr>
            <w:r>
              <w:rPr>
                <w:b w:val="0"/>
                <w:sz w:val="20"/>
              </w:rPr>
              <w:t>Manter período pago válido e reconciliar FREE após encerramento confirmado.</w:t>
            </w:r>
          </w:p>
        </w:tc>
      </w:tr>
      <w:tr>
        <w:trPr>
          <w:cantSplit/>
        </w:trPr>
        <w:tc>
          <w:tcPr>
            <w:tcW w:type="dxa" w:w="1089"/>
          </w:tcPr>
          <w:p>
            <w:pPr>
              <w:spacing w:line="240" w:lineRule="auto" w:after="100" w:before="100"/>
              <w:ind w:firstLine="0"/>
            </w:pPr>
            <w:r>
              <w:rPr>
                <w:b w:val="0"/>
                <w:sz w:val="20"/>
              </w:rPr>
              <w:t>PG15</w:t>
            </w:r>
          </w:p>
        </w:tc>
        <w:tc>
          <w:tcPr>
            <w:tcW w:type="dxa" w:w="2449"/>
          </w:tcPr>
          <w:p>
            <w:pPr>
              <w:spacing w:line="240" w:lineRule="auto" w:after="100" w:before="100"/>
              <w:ind w:firstLine="0"/>
            </w:pPr>
            <w:r>
              <w:rPr>
                <w:b w:val="0"/>
                <w:sz w:val="20"/>
              </w:rPr>
              <w:t>Aumento pendente</w:t>
            </w:r>
          </w:p>
        </w:tc>
        <w:tc>
          <w:tcPr>
            <w:tcW w:type="dxa" w:w="5533"/>
          </w:tcPr>
          <w:p>
            <w:pPr>
              <w:spacing w:line="240" w:lineRule="auto" w:after="100" w:before="100"/>
              <w:ind w:firstLine="0"/>
            </w:pPr>
            <w:r>
              <w:rPr>
                <w:b w:val="0"/>
                <w:sz w:val="20"/>
              </w:rPr>
              <w:t>Preservar plano anterior válido sem antecipar o novo antes do pagamento.</w:t>
            </w:r>
          </w:p>
        </w:tc>
      </w:tr>
      <w:tr>
        <w:trPr>
          <w:cantSplit/>
        </w:trPr>
        <w:tc>
          <w:tcPr>
            <w:tcW w:type="dxa" w:w="1089"/>
          </w:tcPr>
          <w:p>
            <w:pPr>
              <w:spacing w:line="240" w:lineRule="auto" w:after="100" w:before="100"/>
              <w:ind w:firstLine="0"/>
            </w:pPr>
            <w:r>
              <w:rPr>
                <w:b w:val="0"/>
                <w:sz w:val="20"/>
              </w:rPr>
              <w:t>PG16</w:t>
            </w:r>
          </w:p>
        </w:tc>
        <w:tc>
          <w:tcPr>
            <w:tcW w:type="dxa" w:w="2449"/>
          </w:tcPr>
          <w:p>
            <w:pPr>
              <w:spacing w:line="240" w:lineRule="auto" w:after="100" w:before="100"/>
              <w:ind w:firstLine="0"/>
            </w:pPr>
            <w:r>
              <w:rPr>
                <w:b w:val="0"/>
                <w:sz w:val="20"/>
              </w:rPr>
              <w:t>Portal</w:t>
            </w:r>
          </w:p>
        </w:tc>
        <w:tc>
          <w:tcPr>
            <w:tcW w:type="dxa" w:w="5533"/>
          </w:tcPr>
          <w:p>
            <w:pPr>
              <w:spacing w:line="240" w:lineRule="auto" w:after="100" w:before="100"/>
              <w:ind w:firstLine="0"/>
            </w:pPr>
            <w:r>
              <w:rPr>
                <w:b w:val="0"/>
                <w:sz w:val="20"/>
              </w:rPr>
              <w:t>Usar customer da empresa e origem fixa; conferir opções configuradas no provedor.</w:t>
            </w:r>
          </w:p>
        </w:tc>
      </w:tr>
      <w:tr>
        <w:trPr>
          <w:cantSplit/>
        </w:trPr>
        <w:tc>
          <w:tcPr>
            <w:tcW w:type="dxa" w:w="1089"/>
          </w:tcPr>
          <w:p>
            <w:pPr>
              <w:spacing w:line="240" w:lineRule="auto" w:after="100" w:before="100"/>
              <w:ind w:firstLine="0"/>
            </w:pPr>
            <w:r>
              <w:rPr>
                <w:b w:val="0"/>
                <w:sz w:val="20"/>
              </w:rPr>
              <w:t>PG17</w:t>
            </w:r>
          </w:p>
        </w:tc>
        <w:tc>
          <w:tcPr>
            <w:tcW w:type="dxa" w:w="2449"/>
          </w:tcPr>
          <w:p>
            <w:pPr>
              <w:spacing w:line="240" w:lineRule="auto" w:after="100" w:before="100"/>
              <w:ind w:firstLine="0"/>
            </w:pPr>
            <w:r>
              <w:rPr>
                <w:b w:val="0"/>
                <w:sz w:val="20"/>
              </w:rPr>
              <w:t>Cota e Redis</w:t>
            </w:r>
          </w:p>
        </w:tc>
        <w:tc>
          <w:tcPr>
            <w:tcW w:type="dxa" w:w="5533"/>
          </w:tcPr>
          <w:p>
            <w:pPr>
              <w:spacing w:line="240" w:lineRule="auto" w:after="100" w:before="100"/>
              <w:ind w:firstLine="0"/>
            </w:pPr>
            <w:r>
              <w:rPr>
                <w:b w:val="0"/>
                <w:sz w:val="20"/>
              </w:rPr>
              <w:t>Exceder dez chamadas por minuto; retornar 429; falha do Redis não autoriza operação.</w:t>
            </w:r>
          </w:p>
        </w:tc>
      </w:tr>
      <w:tr>
        <w:trPr>
          <w:cantSplit/>
        </w:trPr>
        <w:tc>
          <w:tcPr>
            <w:tcW w:type="dxa" w:w="1089"/>
          </w:tcPr>
          <w:p>
            <w:pPr>
              <w:keepNext/>
              <w:spacing w:line="240" w:lineRule="auto" w:after="100" w:before="100"/>
              <w:ind w:firstLine="0"/>
            </w:pPr>
            <w:r>
              <w:rPr>
                <w:b w:val="0"/>
                <w:sz w:val="20"/>
              </w:rPr>
              <w:t>PG18</w:t>
            </w:r>
          </w:p>
        </w:tc>
        <w:tc>
          <w:tcPr>
            <w:tcW w:type="dxa" w:w="2449"/>
          </w:tcPr>
          <w:p>
            <w:pPr>
              <w:keepNext/>
              <w:spacing w:line="240" w:lineRule="auto" w:after="100" w:before="100"/>
              <w:ind w:firstLine="0"/>
            </w:pPr>
            <w:r>
              <w:rPr>
                <w:b w:val="0"/>
                <w:sz w:val="20"/>
              </w:rPr>
              <w:t>Atualização manual</w:t>
            </w:r>
          </w:p>
        </w:tc>
        <w:tc>
          <w:tcPr>
            <w:tcW w:type="dxa" w:w="5533"/>
          </w:tcPr>
          <w:p>
            <w:pPr>
              <w:keepNext/>
              <w:spacing w:line="240" w:lineRule="auto" w:after="100" w:before="100"/>
              <w:ind w:firstLine="0"/>
            </w:pPr>
            <w:r>
              <w:rPr>
                <w:b w:val="0"/>
                <w:sz w:val="20"/>
              </w:rPr>
              <w:t>Simular webhook ausente; ação autenticada recupera estado atual.</w:t>
            </w:r>
          </w:p>
        </w:tc>
      </w:tr>
    </w:tbl>
    <w:p>
      <w:pPr>
        <w:spacing w:line="240" w:lineRule="auto"/>
        <w:ind w:firstLine="0"/>
        <w:jc w:val="center"/>
      </w:pPr>
      <w:r>
        <w:rPr>
          <w:sz w:val="20"/>
        </w:rPr>
        <w:t>Fonte: elaboração dos autores com base no código do Nexly (2026).</w:t>
      </w:r>
    </w:p>
    <w:p>
      <w:pPr>
        <w:jc w:val="both"/>
      </w:pPr>
      <w:r>
        <w:t>Os casos PG são critérios de homologação; esta edição documental não os marca como executados. Dublês de unidade não comprovam ativação da conta real, entrega externa do webhook ou recebimento bancário. Nunca usar credenciais de produção em teste local.</w:t>
      </w:r>
    </w:p>
    <w:sectPr>
      <w:headerReference w:type="default" r:id="rId123"/>
      <w:type w:val="nextPage"/>
      <w:footerReference w:type="default" r:id="rId65"/>
      <w:pgSz w:h="11906" w:w="16838" w:orient="landscape"/>
      <w:pgMar w:bottom="1134" w:top="1701" w:left="1701" w:right="1134" w:header="850"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5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5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5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5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6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6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6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6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6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7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7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7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7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7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7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7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7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7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8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8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8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8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8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8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8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8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header8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fldChar w:fldCharType="begin"/>
    </w:r>
    <w:r>
      <w:instrText>PAGE</w:instrText>
    </w:r>
    <w:r>
      <w:fldChar w:fldCharType="separate"/>
    </w:r>
    <w:r>
      <w:t>1</w:t>
    </w:r>
    <w:r>
      <w:fldChar w:fldCharType="end"/>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fals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keepNext w:val="0"/>
      <w:widowControl/>
      <w:spacing w:line="360" w:lineRule="auto" w:before="0" w:after="0"/>
      <w:ind w:firstLine="709"/>
      <w:jc w:val="both"/>
    </w:pPr>
    <w:rPr>
      <w:rFonts w:ascii="Arial" w:hAnsi="Arial"/>
      <w:b w:val="0"/>
      <w:color w:val="000000"/>
      <w:sz w:val="24"/>
      <w:u w:val="none"/>
    </w:rPr>
  </w:style>
  <w:style w:type="paragraph" w:styleId="Heading1">
    <w:name w:val="heading 1"/>
    <w:basedOn w:val="Normal"/>
    <w:next w:val="Normal"/>
    <w:pPr>
      <w:keepNext/>
      <w:keepLines w:val="1"/>
      <w:pageBreakBefore w:val="0"/>
      <w:widowControl/>
      <w:spacing w:after="0" w:before="0" w:lineRule="auto" w:line="360"/>
      <w:ind w:firstLine="0"/>
      <w:jc w:val="left"/>
    </w:pPr>
    <w:rPr>
      <w:rFonts w:ascii="Arial" w:hAnsi="Arial"/>
      <w:b/>
      <w:color w:val="000000"/>
      <w:sz w:val="24"/>
      <w:szCs w:val="40"/>
      <w:u w:val="none"/>
    </w:rPr>
  </w:style>
  <w:style w:type="paragraph" w:styleId="Heading2">
    <w:name w:val="heading 2"/>
    <w:basedOn w:val="Normal"/>
    <w:next w:val="Normal"/>
    <w:pPr>
      <w:keepNext/>
      <w:keepLines w:val="1"/>
      <w:pageBreakBefore w:val="0"/>
      <w:widowControl/>
      <w:spacing w:after="0" w:before="0" w:lineRule="auto" w:line="360"/>
      <w:ind w:firstLine="0"/>
      <w:jc w:val="left"/>
    </w:pPr>
    <w:rPr>
      <w:rFonts w:ascii="Arial" w:hAnsi="Arial"/>
      <w:b/>
      <w:bCs w:val="0"/>
      <w:color w:val="000000"/>
      <w:sz w:val="24"/>
      <w:szCs w:val="32"/>
      <w:u w:val="none"/>
    </w:rPr>
  </w:style>
  <w:style w:type="paragraph" w:styleId="Heading3">
    <w:name w:val="heading 3"/>
    <w:basedOn w:val="Normal"/>
    <w:next w:val="Normal"/>
    <w:pPr>
      <w:keepNext/>
      <w:keepLines w:val="1"/>
      <w:pageBreakBefore w:val="0"/>
      <w:widowControl/>
      <w:spacing w:after="0" w:before="0" w:lineRule="auto" w:line="360"/>
      <w:ind w:firstLine="0"/>
      <w:jc w:val="left"/>
    </w:pPr>
    <w:rPr>
      <w:rFonts w:ascii="Arial" w:hAnsi="Arial"/>
      <w:b/>
      <w:bCs w:val="0"/>
      <w:color w:val="000000"/>
      <w:sz w:val="24"/>
      <w:szCs w:val="28"/>
      <w:u w:val="none"/>
    </w:rPr>
  </w:style>
  <w:style w:type="paragraph" w:styleId="Heading4">
    <w:name w:val="heading 4"/>
    <w:basedOn w:val="Normal"/>
    <w:next w:val="Normal"/>
    <w:pPr>
      <w:keepNext w:val="1"/>
      <w:keepLines w:val="1"/>
      <w:pageBreakBefore w:val="0"/>
      <w:spacing w:after="80" w:before="280" w:lineRule="auto"/>
    </w:pPr>
    <w:rPr>
      <w:rFonts w:ascii="Arial" w:hAnsi="Arial"/>
      <w:color w:val="000000"/>
      <w:sz w:val="24"/>
      <w:szCs w:val="24"/>
    </w:rPr>
  </w:style>
  <w:style w:type="paragraph" w:styleId="Heading5">
    <w:name w:val="heading 5"/>
    <w:basedOn w:val="Normal"/>
    <w:next w:val="Normal"/>
    <w:pPr>
      <w:keepNext w:val="1"/>
      <w:keepLines w:val="1"/>
      <w:pageBreakBefore w:val="0"/>
      <w:spacing w:after="80" w:before="240" w:lineRule="auto"/>
    </w:pPr>
    <w:rPr>
      <w:rFonts w:ascii="Arial" w:hAnsi="Arial"/>
      <w:color w:val="000000"/>
      <w:sz w:val="22"/>
      <w:szCs w:val="22"/>
    </w:rPr>
  </w:style>
  <w:style w:type="paragraph" w:styleId="Heading6">
    <w:name w:val="heading 6"/>
    <w:basedOn w:val="Normal"/>
    <w:next w:val="Normal"/>
    <w:pPr>
      <w:keepNext w:val="1"/>
      <w:keepLines w:val="1"/>
      <w:pageBreakBefore w:val="0"/>
      <w:spacing w:after="80" w:before="240" w:lineRule="auto"/>
    </w:pPr>
    <w:rPr>
      <w:rFonts w:ascii="Arial" w:hAnsi="Arial"/>
      <w:i w:val="1"/>
      <w:iCs w:val="1"/>
      <w:color w:val="000000"/>
      <w:sz w:val="22"/>
      <w:szCs w:val="22"/>
    </w:rPr>
  </w:style>
  <w:style w:type="paragraph" w:styleId="Title">
    <w:name w:val="Title"/>
    <w:basedOn w:val="Normal"/>
    <w:next w:val="Normal"/>
    <w:pPr>
      <w:keepNext w:val="0"/>
      <w:keepLines w:val="1"/>
      <w:pageBreakBefore w:val="0"/>
      <w:widowControl/>
      <w:spacing w:after="0" w:before="0" w:lineRule="auto" w:line="360"/>
      <w:ind w:firstLine="0"/>
      <w:jc w:val="left"/>
    </w:pPr>
    <w:rPr>
      <w:rFonts w:ascii="Arial" w:hAnsi="Arial"/>
      <w:b/>
      <w:color w:val="000000"/>
      <w:sz w:val="28"/>
      <w:szCs w:val="52"/>
      <w:u w:val="non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000000"/>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paragraph" w:customStyle="1" w:styleId="Caption">
    <w:name w:val="caption"/>
    <w:pPr>
      <w:keepNext w:val="0"/>
      <w:widowControl/>
      <w:spacing w:line="360" w:lineRule="auto" w:before="0" w:after="0"/>
      <w:ind w:firstLine="0"/>
      <w:jc w:val="left"/>
    </w:pPr>
    <w:rPr>
      <w:rFonts w:ascii="Arial" w:hAnsi="Arial"/>
      <w:b w:val="0"/>
      <w:color w:val="000000"/>
      <w:sz w:val="20"/>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000000"/>
      <w:sz w:val="20"/>
      <w:szCs w:val="20"/>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olor w:val="000000"/>
    </w:rPr>
  </w:style>
  <w:style w:type="paragraph" w:styleId="BodyText">
    <w:name w:val="Body Text"/>
    <w:basedOn w:val="Normal"/>
    <w:link w:val="BodyTextChar"/>
    <w:uiPriority w:val="99"/>
    <w:unhideWhenUsed/>
    <w:rsid w:val="00AA1D8D"/>
    <w:pPr>
      <w:spacing w:after="120"/>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color w:val="000000"/>
    </w:rPr>
  </w:style>
  <w:style w:type="paragraph" w:styleId="List2">
    <w:name w:val="List 2"/>
    <w:basedOn w:val="Normal"/>
    <w:uiPriority w:val="99"/>
    <w:unhideWhenUsed/>
    <w:rsid w:val="00326F90"/>
    <w:pPr>
      <w:ind w:left="720" w:hanging="360"/>
      <w:contextualSpacing/>
    </w:pPr>
    <w:rPr>
      <w:rFonts w:ascii="Arial" w:hAnsi="Arial"/>
      <w:color w:val="000000"/>
    </w:rPr>
  </w:style>
  <w:style w:type="paragraph" w:styleId="List3">
    <w:name w:val="List 3"/>
    <w:basedOn w:val="Normal"/>
    <w:uiPriority w:val="99"/>
    <w:unhideWhenUsed/>
    <w:rsid w:val="00326F90"/>
    <w:pPr>
      <w:ind w:left="1080" w:hanging="360"/>
      <w:contextualSpacing/>
    </w:pPr>
    <w:rPr>
      <w:rFonts w:ascii="Arial" w:hAnsi="Arial"/>
      <w:color w:val="000000"/>
    </w:r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rPr>
      <w:rFonts w:ascii="Arial" w:hAnsi="Arial"/>
      <w:color w:val="000000"/>
    </w:rPr>
  </w:style>
  <w:style w:type="paragraph" w:styleId="ListBullet3">
    <w:name w:val="List Bullet 3"/>
    <w:basedOn w:val="Normal"/>
    <w:uiPriority w:val="99"/>
    <w:unhideWhenUsed/>
    <w:rsid w:val="00326F90"/>
    <w:pPr>
      <w:numPr>
        <w:numId w:val="3"/>
      </w:numPr>
      <w:contextualSpacing/>
    </w:pPr>
    <w:rPr>
      <w:rFonts w:ascii="Arial" w:hAnsi="Arial"/>
      <w:color w:val="000000"/>
    </w:r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rPr>
      <w:rFonts w:ascii="Arial" w:hAnsi="Arial"/>
      <w:color w:val="000000"/>
    </w:rPr>
  </w:style>
  <w:style w:type="paragraph" w:styleId="ListNumber3">
    <w:name w:val="List Number 3"/>
    <w:basedOn w:val="Normal"/>
    <w:uiPriority w:val="99"/>
    <w:unhideWhenUsed/>
    <w:rsid w:val="0029639D"/>
    <w:pPr>
      <w:numPr>
        <w:numId w:val="7"/>
      </w:numPr>
      <w:contextualSpacing/>
    </w:pPr>
    <w:rPr>
      <w:rFonts w:ascii="Arial" w:hAnsi="Arial"/>
      <w:color w:val="000000"/>
    </w:rPr>
  </w:style>
  <w:style w:type="paragraph" w:styleId="ListContinue">
    <w:name w:val="List Continue"/>
    <w:basedOn w:val="Normal"/>
    <w:uiPriority w:val="99"/>
    <w:unhideWhenUsed/>
    <w:rsid w:val="0029639D"/>
    <w:pPr>
      <w:spacing w:after="120"/>
      <w:ind w:left="360"/>
      <w:contextualSpacing/>
    </w:pPr>
    <w:rPr>
      <w:rFonts w:ascii="Arial" w:hAnsi="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header" Target="header32.xml"/><Relationship Id="rId68" Type="http://schemas.openxmlformats.org/officeDocument/2006/relationships/header" Target="header33.xml"/><Relationship Id="rId69" Type="http://schemas.openxmlformats.org/officeDocument/2006/relationships/header" Target="header34.xml"/><Relationship Id="rId70" Type="http://schemas.openxmlformats.org/officeDocument/2006/relationships/header" Target="header35.xml"/><Relationship Id="rId71" Type="http://schemas.openxmlformats.org/officeDocument/2006/relationships/header" Target="header36.xml"/><Relationship Id="rId72" Type="http://schemas.openxmlformats.org/officeDocument/2006/relationships/header" Target="header37.xml"/><Relationship Id="rId73" Type="http://schemas.openxmlformats.org/officeDocument/2006/relationships/header" Target="header38.xml"/><Relationship Id="rId74" Type="http://schemas.openxmlformats.org/officeDocument/2006/relationships/header" Target="header39.xml"/><Relationship Id="rId75" Type="http://schemas.openxmlformats.org/officeDocument/2006/relationships/header" Target="header40.xml"/><Relationship Id="rId76" Type="http://schemas.openxmlformats.org/officeDocument/2006/relationships/header" Target="header41.xml"/><Relationship Id="rId77" Type="http://schemas.openxmlformats.org/officeDocument/2006/relationships/header" Target="header42.xml"/><Relationship Id="rId78" Type="http://schemas.openxmlformats.org/officeDocument/2006/relationships/header" Target="header43.xml"/><Relationship Id="rId79" Type="http://schemas.openxmlformats.org/officeDocument/2006/relationships/header" Target="header44.xml"/><Relationship Id="rId80" Type="http://schemas.openxmlformats.org/officeDocument/2006/relationships/header" Target="header45.xml"/><Relationship Id="rId81" Type="http://schemas.openxmlformats.org/officeDocument/2006/relationships/header" Target="header46.xml"/><Relationship Id="rId82" Type="http://schemas.openxmlformats.org/officeDocument/2006/relationships/header" Target="header47.xml"/><Relationship Id="rId83" Type="http://schemas.openxmlformats.org/officeDocument/2006/relationships/header" Target="header48.xml"/><Relationship Id="rId84" Type="http://schemas.openxmlformats.org/officeDocument/2006/relationships/header" Target="header49.xml"/><Relationship Id="rId85" Type="http://schemas.openxmlformats.org/officeDocument/2006/relationships/header" Target="header50.xml"/><Relationship Id="rId86" Type="http://schemas.openxmlformats.org/officeDocument/2006/relationships/header" Target="header51.xml"/><Relationship Id="rId87" Type="http://schemas.openxmlformats.org/officeDocument/2006/relationships/header" Target="header52.xml"/><Relationship Id="rId88" Type="http://schemas.openxmlformats.org/officeDocument/2006/relationships/header" Target="header53.xml"/><Relationship Id="rId89" Type="http://schemas.openxmlformats.org/officeDocument/2006/relationships/header" Target="header54.xml"/><Relationship Id="rId90" Type="http://schemas.openxmlformats.org/officeDocument/2006/relationships/header" Target="header55.xml"/><Relationship Id="rId91" Type="http://schemas.openxmlformats.org/officeDocument/2006/relationships/header" Target="header56.xml"/><Relationship Id="rId92" Type="http://schemas.openxmlformats.org/officeDocument/2006/relationships/header" Target="header57.xml"/><Relationship Id="rId93" Type="http://schemas.openxmlformats.org/officeDocument/2006/relationships/header" Target="header58.xml"/><Relationship Id="rId94" Type="http://schemas.openxmlformats.org/officeDocument/2006/relationships/header" Target="header59.xml"/><Relationship Id="rId95" Type="http://schemas.openxmlformats.org/officeDocument/2006/relationships/header" Target="header60.xml"/><Relationship Id="rId96" Type="http://schemas.openxmlformats.org/officeDocument/2006/relationships/header" Target="header61.xml"/><Relationship Id="rId97" Type="http://schemas.openxmlformats.org/officeDocument/2006/relationships/header" Target="header62.xml"/><Relationship Id="rId98" Type="http://schemas.openxmlformats.org/officeDocument/2006/relationships/header" Target="header63.xml"/><Relationship Id="rId99" Type="http://schemas.openxmlformats.org/officeDocument/2006/relationships/header" Target="header64.xml"/><Relationship Id="rId100" Type="http://schemas.openxmlformats.org/officeDocument/2006/relationships/header" Target="header65.xml"/><Relationship Id="rId101" Type="http://schemas.openxmlformats.org/officeDocument/2006/relationships/header" Target="header66.xml"/><Relationship Id="rId102" Type="http://schemas.openxmlformats.org/officeDocument/2006/relationships/header" Target="header67.xml"/><Relationship Id="rId103" Type="http://schemas.openxmlformats.org/officeDocument/2006/relationships/header" Target="header68.xml"/><Relationship Id="rId104" Type="http://schemas.openxmlformats.org/officeDocument/2006/relationships/header" Target="header69.xml"/><Relationship Id="rId105" Type="http://schemas.openxmlformats.org/officeDocument/2006/relationships/header" Target="header70.xml"/><Relationship Id="rId106" Type="http://schemas.openxmlformats.org/officeDocument/2006/relationships/header" Target="header71.xml"/><Relationship Id="rId107" Type="http://schemas.openxmlformats.org/officeDocument/2006/relationships/header" Target="header72.xml"/><Relationship Id="rId108" Type="http://schemas.openxmlformats.org/officeDocument/2006/relationships/header" Target="header73.xml"/><Relationship Id="rId109" Type="http://schemas.openxmlformats.org/officeDocument/2006/relationships/header" Target="header74.xml"/><Relationship Id="rId110" Type="http://schemas.openxmlformats.org/officeDocument/2006/relationships/header" Target="header75.xml"/><Relationship Id="rId111" Type="http://schemas.openxmlformats.org/officeDocument/2006/relationships/header" Target="header76.xml"/><Relationship Id="rId112" Type="http://schemas.openxmlformats.org/officeDocument/2006/relationships/header" Target="header77.xml"/><Relationship Id="rId113" Type="http://schemas.openxmlformats.org/officeDocument/2006/relationships/header" Target="header78.xml"/><Relationship Id="rId114" Type="http://schemas.openxmlformats.org/officeDocument/2006/relationships/header" Target="header79.xml"/><Relationship Id="rId115" Type="http://schemas.openxmlformats.org/officeDocument/2006/relationships/header" Target="header80.xml"/><Relationship Id="rId116" Type="http://schemas.openxmlformats.org/officeDocument/2006/relationships/header" Target="header81.xml"/><Relationship Id="rId117" Type="http://schemas.openxmlformats.org/officeDocument/2006/relationships/header" Target="header82.xml"/><Relationship Id="rId118" Type="http://schemas.openxmlformats.org/officeDocument/2006/relationships/header" Target="header83.xml"/><Relationship Id="rId119" Type="http://schemas.openxmlformats.org/officeDocument/2006/relationships/header" Target="header84.xml"/><Relationship Id="rId120" Type="http://schemas.openxmlformats.org/officeDocument/2006/relationships/header" Target="header85.xml"/><Relationship Id="rId121" Type="http://schemas.openxmlformats.org/officeDocument/2006/relationships/header" Target="header86.xml"/><Relationship Id="rId122" Type="http://schemas.openxmlformats.org/officeDocument/2006/relationships/header" Target="header87.xml"/><Relationship Id="rId123" Type="http://schemas.openxmlformats.org/officeDocument/2006/relationships/header" Target="header8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Nexly plano integral de testes e GOT atualizado</dc:title>
  <cp:lastModifiedBy>python-docx</cp:lastModifiedBy>
  <cp:revision>1</cp:revision>
  <dcterms:modified xsi:type="dcterms:W3CDTF">2026-10-23T16:25:59Z</dcterms:modified>
  <dc:creator>NexusTech — Breno Oliveira; Felipe Bertaco; Gustavo Barreto; Mariana Nascimento; Vinícius Vila Nova</dc:creator>
  <dc:subject>Documentação integral atualizada em 23/10/2026; pagamentos, tecnologias, operação e inventários atuais.</dc:subject>
  <cp:keywords>Nexly; gestão; estoque; agenda; testes; ABNT</cp:keywords>
  <dc:description/>
  <dcterms:created xsi:type="dcterms:W3CDTF">2026-10-23T16:25:59Z</dcterms:created>
</cp:coreProperties>
</file>