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ind w:firstLine="0"/>
        <w:jc w:val="center"/>
      </w:pPr>
      <w:r>
        <w:rPr>
          <w:b/>
        </w:rPr>
        <w:t>ESCOLA SENAI “A. JACOB LAFER”</w:t>
      </w:r>
    </w:p>
    <w:p>
      <w:pPr>
        <w:keepNext w:val="0"/>
        <w:spacing w:before="0"/>
        <w:ind w:firstLine="0"/>
        <w:jc w:val="center"/>
      </w:pPr>
      <w:r>
        <w:rPr>
          <w:b/>
        </w:rPr>
        <w:t>TÉCNICO EM DESENVOLVIMENTO DE SISTEMAS</w:t>
      </w:r>
    </w:p>
    <w:p>
      <w:pPr>
        <w:keepNext w:val="0"/>
        <w:spacing w:before="560"/>
        <w:ind w:firstLine="0"/>
        <w:jc w:val="center"/>
      </w:pPr>
      <w:r>
        <w:rPr>
          <w:b/>
        </w:rPr>
        <w:t>BRENO OLIVEIRA</w:t>
      </w:r>
    </w:p>
    <w:p>
      <w:pPr>
        <w:keepNext w:val="0"/>
        <w:spacing w:before="0"/>
        <w:ind w:firstLine="0"/>
        <w:jc w:val="center"/>
      </w:pPr>
      <w:r>
        <w:rPr>
          <w:b/>
        </w:rPr>
        <w:t>FELIPE BERTACO</w:t>
      </w:r>
    </w:p>
    <w:p>
      <w:pPr>
        <w:keepNext w:val="0"/>
        <w:spacing w:before="0"/>
        <w:ind w:firstLine="0"/>
        <w:jc w:val="center"/>
      </w:pPr>
      <w:r>
        <w:rPr>
          <w:b/>
        </w:rPr>
        <w:t>GUSTAVO BARRETO</w:t>
      </w:r>
    </w:p>
    <w:p>
      <w:pPr>
        <w:keepNext w:val="0"/>
        <w:spacing w:before="0"/>
        <w:ind w:firstLine="0"/>
        <w:jc w:val="center"/>
      </w:pPr>
      <w:r>
        <w:rPr>
          <w:b/>
        </w:rPr>
        <w:t>MARIANA NASCIMENTO</w:t>
      </w:r>
    </w:p>
    <w:p>
      <w:pPr>
        <w:keepNext w:val="0"/>
        <w:spacing w:before="0"/>
        <w:ind w:firstLine="0"/>
        <w:jc w:val="center"/>
      </w:pPr>
      <w:r>
        <w:rPr>
          <w:b/>
        </w:rPr>
        <w:t>VINÍCIUS VILA NOVA</w:t>
      </w:r>
    </w:p>
    <w:p>
      <w:pPr>
        <w:pStyle w:val="Title"/>
        <w:keepNext w:val="0"/>
        <w:spacing w:before="2000"/>
        <w:ind w:firstLine="0"/>
        <w:jc w:val="center"/>
      </w:pPr>
      <w:r>
        <w:rPr>
          <w:b/>
        </w:rPr>
        <w:t>NEXLY PLATAFORMA INTEGRADA DE GESTÃO PARA PEQUENOS NEGÓCIOS</w:t>
      </w:r>
    </w:p>
    <w:p>
      <w:pPr>
        <w:keepNext w:val="0"/>
        <w:spacing w:before="7000"/>
        <w:ind w:firstLine="0"/>
        <w:jc w:val="center"/>
      </w:pPr>
      <w:r>
        <w:rPr>
          <w:b/>
        </w:rPr>
        <w:t>SANTO ANDRÉ</w:t>
      </w:r>
    </w:p>
    <w:p>
      <w:pPr>
        <w:keepNext w:val="0"/>
        <w:spacing w:before="0"/>
        <w:ind w:firstLine="0"/>
        <w:jc w:val="center"/>
      </w:pPr>
      <w:r>
        <w:rPr>
          <w:b/>
        </w:rPr>
        <w:t>2026</w:t>
      </w:r>
    </w:p>
    <w:p>
      <w:pPr>
        <w:sectPr>
          <w:headerReference w:type="default" r:id="rId9"/>
          <w:pgSz w:w="11906" w:h="16838"/>
          <w:pgMar w:top="1701" w:right="1134" w:bottom="1134" w:left="1701" w:header="850" w:footer="680" w:gutter="0"/>
          <w:cols w:space="720"/>
          <w:docGrid w:linePitch="360"/>
        </w:sectPr>
      </w:pPr>
    </w:p>
    <w:p>
      <w:pPr>
        <w:keepNext w:val="0"/>
        <w:spacing w:before="0"/>
        <w:ind w:firstLine="0"/>
        <w:jc w:val="center"/>
      </w:pPr>
      <w:r>
        <w:rPr>
          <w:b/>
        </w:rPr>
        <w:t>BRENO OLIVEIRA</w:t>
      </w:r>
    </w:p>
    <w:p>
      <w:pPr>
        <w:keepNext w:val="0"/>
        <w:spacing w:before="0"/>
        <w:ind w:firstLine="0"/>
        <w:jc w:val="center"/>
      </w:pPr>
      <w:r>
        <w:rPr>
          <w:b/>
        </w:rPr>
        <w:t>FELIPE BERTACO</w:t>
      </w:r>
    </w:p>
    <w:p>
      <w:pPr>
        <w:keepNext w:val="0"/>
        <w:spacing w:before="0"/>
        <w:ind w:firstLine="0"/>
        <w:jc w:val="center"/>
      </w:pPr>
      <w:r>
        <w:rPr>
          <w:b/>
        </w:rPr>
        <w:t>GUSTAVO BARRETO</w:t>
      </w:r>
    </w:p>
    <w:p>
      <w:pPr>
        <w:keepNext w:val="0"/>
        <w:spacing w:before="0"/>
        <w:ind w:firstLine="0"/>
        <w:jc w:val="center"/>
      </w:pPr>
      <w:r>
        <w:rPr>
          <w:b/>
        </w:rPr>
        <w:t>MARIANA NASCIMENTO</w:t>
      </w:r>
    </w:p>
    <w:p>
      <w:pPr>
        <w:keepNext w:val="0"/>
        <w:spacing w:before="0"/>
        <w:ind w:firstLine="0"/>
        <w:jc w:val="center"/>
      </w:pPr>
      <w:r>
        <w:rPr>
          <w:b/>
        </w:rPr>
        <w:t>VINÍCIUS VILA NOVA</w:t>
      </w:r>
    </w:p>
    <w:p>
      <w:pPr>
        <w:pStyle w:val="Title"/>
        <w:keepNext w:val="0"/>
        <w:spacing w:before="1600"/>
        <w:ind w:firstLine="0"/>
        <w:jc w:val="center"/>
      </w:pPr>
      <w:r>
        <w:rPr>
          <w:b/>
        </w:rPr>
        <w:t>NEXLY PLATAFORMA INTEGRADA DE GESTÃO PARA PEQUENOS NEGÓCIOS</w:t>
      </w:r>
    </w:p>
    <w:p>
      <w:pPr>
        <w:spacing w:line="240" w:lineRule="auto" w:before="1100"/>
        <w:ind w:left="4535" w:firstLine="0"/>
      </w:pPr>
      <w:r>
        <w:t>Documentação do projeto Nexly apresentada ao curso Técnico em Desenvolvimento de Sistemas da Escola SENAI “A. Jacob Lafer”, como registro do desenvolvimento da plataforma. Orientadores: Prof. Raul Lopes e Prof. Paulo Camargo.</w:t>
      </w:r>
    </w:p>
    <w:p>
      <w:pPr>
        <w:keepNext w:val="0"/>
        <w:spacing w:before="6000"/>
        <w:ind w:firstLine="0"/>
        <w:jc w:val="center"/>
      </w:pPr>
      <w:r>
        <w:rPr>
          <w:b/>
        </w:rPr>
        <w:t>SANTO ANDRÉ</w:t>
      </w:r>
    </w:p>
    <w:p>
      <w:pPr>
        <w:keepNext w:val="0"/>
        <w:spacing w:before="0"/>
        <w:ind w:firstLine="0"/>
        <w:jc w:val="center"/>
      </w:pPr>
      <w:r>
        <w:rPr>
          <w:b/>
        </w:rPr>
        <w:t>2026</w:t>
      </w:r>
    </w:p>
    <w:p>
      <w:pPr>
        <w:keepNext w:val="0"/>
        <w:pageBreakBefore/>
        <w:spacing w:before="0"/>
        <w:ind w:firstLine="0"/>
        <w:jc w:val="center"/>
      </w:pPr>
      <w:r>
        <w:rPr>
          <w:b/>
        </w:rPr>
        <w:t>RESUMO</w:t>
      </w:r>
    </w:p>
    <w:p>
      <w:pPr>
        <w:ind w:firstLine="0"/>
        <w:jc w:val="both"/>
      </w:pPr>
      <w:r>
        <w:t>Este trabalho apresenta o Nexly, uma plataforma web que integra agenda, clientes, estoque, vendas e recursos operacionais para pequenos negócios. O objetivo é explicar sua proposta e implementação para leitores com ou sem formação em programação. A análise considera o código, os contratos compartilhados, o schema Prisma e as evidências de testes da revisão de outubro de 2026. A interface utiliza React e Next.js; a API é organizada com Node.js e NestJS; PostgreSQL armazena os dados e Redis atende informações temporárias. A conclusão de atendimentos registra consumo dos insumos configurados, conectando a prestação do serviço ao controle de materiais. A documentação também aborda módulos personalizáveis, assinaturas Stripe, login Google, sessões, permissões, operação e limites das verificações. Os resultados registrados referem-se aos cenários efetivamente executados. Configuração de comunicação, publicação da API, tratamento de incidentes externos e validação comercial exigem acompanhamento específico. A integração implementada reduz duplicação de registros, enquanto sua manutenção depende de consistência entre regras, código, testes e operação.</w:t>
      </w:r>
    </w:p>
    <w:p>
      <w:pPr>
        <w:jc w:val="both"/>
      </w:pPr>
      <w:r>
        <w:t>Palavras-chave: gestão de pequenos negócios; aplicação web; agenda; estoque; isolamento de dados.</w:t>
      </w:r>
    </w:p>
    <w:p>
      <w:pPr>
        <w:keepNext w:val="0"/>
        <w:pageBreakBefore/>
        <w:spacing w:before="0"/>
        <w:ind w:firstLine="0"/>
        <w:jc w:val="center"/>
      </w:pPr>
      <w:r>
        <w:rPr>
          <w:b/>
        </w:rPr>
        <w:t>ABSTRACT</w:t>
      </w:r>
    </w:p>
    <w:p>
      <w:pPr>
        <w:ind w:firstLine="0"/>
        <w:jc w:val="both"/>
      </w:pPr>
      <w:r>
        <w:t>This work presents Nexly, a web platform connecting appointments, customer records, inventory, sales and operational features for small businesses. It explains the product and its implementation for readers with or without a programming background. The analysis uses source code, shared contracts, the Prisma schema and evidence from the October 2026 review. React and Next.js provide the interface; Node.js and NestJS organize the API; PostgreSQL stores business data and Redis supports temporary state. Completing an appointment records consumption of configured materials. The document covers configurable modules, Stripe subscriptions, Google login, sessions, permissions, deployment and testing limitations. Recorded results describe executed scenarios. Communication setup, API publication, provider incidents and commercial validation require separate operational follow-up. The implementation connects business records, while continued maintenance depends on consistent requirements, code, tests and operations.</w:t>
      </w:r>
    </w:p>
    <w:p>
      <w:pPr>
        <w:jc w:val="both"/>
      </w:pPr>
      <w:r>
        <w:t>Keywords: small business management; web application; scheduling; inventory; data isolation.</w:t>
      </w:r>
    </w:p>
    <w:p>
      <w:pPr>
        <w:keepNext w:val="0"/>
        <w:pageBreakBefore/>
        <w:spacing w:before="0"/>
        <w:ind w:firstLine="0"/>
        <w:jc w:val="center"/>
      </w:pPr>
      <w:r>
        <w:rPr>
          <w:b/>
        </w:rPr>
        <w:t>SUMÁRIO</w:t>
      </w:r>
    </w:p>
    <w:p>
      <w:pPr/>
      <w:r>
        <w:fldChar w:fldCharType="begin"/>
      </w:r>
      <w:r>
        <w:instrText>TOC \o "1-2" \h \z \u</w:instrText>
      </w:r>
      <w:r>
        <w:fldChar w:fldCharType="separate"/>
      </w:r>
      <w:r>
        <w:t/>
      </w:r>
    </w:p>
    <w:p>
      <w:pPr>
        <w:tabs>
          <w:tab w:pos="9071" w:val="right" w:leader="dot"/>
        </w:tabs>
        <w:spacing w:line="360" w:lineRule="auto"/>
        <w:ind w:firstLine="0" w:left="0"/>
      </w:pPr>
      <w:r>
        <w:t>1 INTRODUÇÃO</w:t>
        <w:tab/>
      </w:r>
      <w:r>
        <w:fldChar w:fldCharType="begin"/>
      </w:r>
      <w:r>
        <w:instrText>PAGEREF sec1 \h</w:instrText>
      </w:r>
      <w:r>
        <w:fldChar w:fldCharType="separate"/>
      </w:r>
      <w:r>
        <w:t>6</w:t>
      </w:r>
      <w:r>
        <w:fldChar w:fldCharType="end"/>
      </w:r>
    </w:p>
    <w:p>
      <w:pPr>
        <w:tabs>
          <w:tab w:pos="9071" w:val="right" w:leader="dot"/>
        </w:tabs>
        <w:spacing w:line="360" w:lineRule="auto"/>
        <w:ind w:firstLine="0" w:left="283"/>
      </w:pPr>
      <w:r>
        <w:t>1.1 Método e escopo</w:t>
        <w:tab/>
      </w:r>
      <w:r>
        <w:fldChar w:fldCharType="begin"/>
      </w:r>
      <w:r>
        <w:instrText>PAGEREF sec2 \h</w:instrText>
      </w:r>
      <w:r>
        <w:fldChar w:fldCharType="separate"/>
      </w:r>
      <w:r>
        <w:t>6</w:t>
      </w:r>
      <w:r>
        <w:fldChar w:fldCharType="end"/>
      </w:r>
    </w:p>
    <w:p>
      <w:pPr>
        <w:tabs>
          <w:tab w:pos="9071" w:val="right" w:leader="dot"/>
        </w:tabs>
        <w:spacing w:line="360" w:lineRule="auto"/>
        <w:ind w:firstLine="0" w:left="283"/>
      </w:pPr>
      <w:r>
        <w:t>1.2 Objetivos</w:t>
        <w:tab/>
      </w:r>
      <w:r>
        <w:fldChar w:fldCharType="begin"/>
      </w:r>
      <w:r>
        <w:instrText>PAGEREF sec3 \h</w:instrText>
      </w:r>
      <w:r>
        <w:fldChar w:fldCharType="separate"/>
      </w:r>
      <w:r>
        <w:t>6</w:t>
      </w:r>
      <w:r>
        <w:fldChar w:fldCharType="end"/>
      </w:r>
    </w:p>
    <w:p>
      <w:pPr>
        <w:tabs>
          <w:tab w:pos="9071" w:val="right" w:leader="dot"/>
        </w:tabs>
        <w:spacing w:line="360" w:lineRule="auto"/>
        <w:ind w:firstLine="0" w:left="0"/>
      </w:pPr>
      <w:r>
        <w:t>2 PRODUTO E FUNCIONALIDADES</w:t>
        <w:tab/>
      </w:r>
      <w:r>
        <w:fldChar w:fldCharType="begin"/>
      </w:r>
      <w:r>
        <w:instrText>PAGEREF sec4 \h</w:instrText>
      </w:r>
      <w:r>
        <w:fldChar w:fldCharType="separate"/>
      </w:r>
      <w:r>
        <w:t>7</w:t>
      </w:r>
      <w:r>
        <w:fldChar w:fldCharType="end"/>
      </w:r>
    </w:p>
    <w:p>
      <w:pPr>
        <w:tabs>
          <w:tab w:pos="9071" w:val="right" w:leader="dot"/>
        </w:tabs>
        <w:spacing w:line="360" w:lineRule="auto"/>
        <w:ind w:firstLine="0" w:left="283"/>
      </w:pPr>
      <w:r>
        <w:t>2.1 Cadastro e primeiro acesso</w:t>
        <w:tab/>
      </w:r>
      <w:r>
        <w:fldChar w:fldCharType="begin"/>
      </w:r>
      <w:r>
        <w:instrText>PAGEREF sec5 \h</w:instrText>
      </w:r>
      <w:r>
        <w:fldChar w:fldCharType="separate"/>
      </w:r>
      <w:r>
        <w:t>7</w:t>
      </w:r>
      <w:r>
        <w:fldChar w:fldCharType="end"/>
      </w:r>
    </w:p>
    <w:p>
      <w:pPr>
        <w:tabs>
          <w:tab w:pos="9071" w:val="right" w:leader="dot"/>
        </w:tabs>
        <w:spacing w:line="360" w:lineRule="auto"/>
        <w:ind w:firstLine="0" w:left="283"/>
      </w:pPr>
      <w:r>
        <w:t>2.2 Funcionalidades</w:t>
        <w:tab/>
      </w:r>
      <w:r>
        <w:fldChar w:fldCharType="begin"/>
      </w:r>
      <w:r>
        <w:instrText>PAGEREF sec6 \h</w:instrText>
      </w:r>
      <w:r>
        <w:fldChar w:fldCharType="separate"/>
      </w:r>
      <w:r>
        <w:t>7</w:t>
      </w:r>
      <w:r>
        <w:fldChar w:fldCharType="end"/>
      </w:r>
    </w:p>
    <w:p>
      <w:pPr>
        <w:tabs>
          <w:tab w:pos="9071" w:val="right" w:leader="dot"/>
        </w:tabs>
        <w:spacing w:line="360" w:lineRule="auto"/>
        <w:ind w:firstLine="0" w:left="283"/>
      </w:pPr>
      <w:r>
        <w:t>2.3 Atendimento conectado ao estoque</w:t>
        <w:tab/>
      </w:r>
      <w:r>
        <w:fldChar w:fldCharType="begin"/>
      </w:r>
      <w:r>
        <w:instrText>PAGEREF sec7 \h</w:instrText>
      </w:r>
      <w:r>
        <w:fldChar w:fldCharType="separate"/>
      </w:r>
      <w:r>
        <w:t>8</w:t>
      </w:r>
      <w:r>
        <w:fldChar w:fldCharType="end"/>
      </w:r>
    </w:p>
    <w:p>
      <w:pPr>
        <w:tabs>
          <w:tab w:pos="9071" w:val="right" w:leader="dot"/>
        </w:tabs>
        <w:spacing w:line="360" w:lineRule="auto"/>
        <w:ind w:firstLine="0" w:left="283"/>
      </w:pPr>
      <w:r>
        <w:t>2.4 Alertas do painel</w:t>
        <w:tab/>
      </w:r>
      <w:r>
        <w:fldChar w:fldCharType="begin"/>
      </w:r>
      <w:r>
        <w:instrText>PAGEREF sec8 \h</w:instrText>
      </w:r>
      <w:r>
        <w:fldChar w:fldCharType="separate"/>
      </w:r>
      <w:r>
        <w:t>9</w:t>
      </w:r>
      <w:r>
        <w:fldChar w:fldCharType="end"/>
      </w:r>
    </w:p>
    <w:p>
      <w:pPr>
        <w:tabs>
          <w:tab w:pos="9071" w:val="right" w:leader="dot"/>
        </w:tabs>
        <w:spacing w:line="360" w:lineRule="auto"/>
        <w:ind w:firstLine="0" w:left="283"/>
      </w:pPr>
      <w:r>
        <w:t>2.5 Planos do Nexly</w:t>
        <w:tab/>
      </w:r>
      <w:r>
        <w:fldChar w:fldCharType="begin"/>
      </w:r>
      <w:r>
        <w:instrText>PAGEREF sec9 \h</w:instrText>
      </w:r>
      <w:r>
        <w:fldChar w:fldCharType="separate"/>
      </w:r>
      <w:r>
        <w:t>9</w:t>
      </w:r>
      <w:r>
        <w:fldChar w:fldCharType="end"/>
      </w:r>
    </w:p>
    <w:p>
      <w:pPr>
        <w:tabs>
          <w:tab w:pos="9071" w:val="right" w:leader="dot"/>
        </w:tabs>
        <w:spacing w:line="360" w:lineRule="auto"/>
        <w:ind w:firstLine="0" w:left="283"/>
      </w:pPr>
      <w:r>
        <w:t>2.6 Páginas públicas</w:t>
        <w:tab/>
      </w:r>
      <w:r>
        <w:fldChar w:fldCharType="begin"/>
      </w:r>
      <w:r>
        <w:instrText>PAGEREF sec10 \h</w:instrText>
      </w:r>
      <w:r>
        <w:fldChar w:fldCharType="separate"/>
      </w:r>
      <w:r>
        <w:t>9</w:t>
      </w:r>
      <w:r>
        <w:fldChar w:fldCharType="end"/>
      </w:r>
    </w:p>
    <w:p>
      <w:pPr>
        <w:tabs>
          <w:tab w:pos="9071" w:val="right" w:leader="dot"/>
        </w:tabs>
        <w:spacing w:line="360" w:lineRule="auto"/>
        <w:ind w:firstLine="0" w:left="283"/>
      </w:pPr>
      <w:r>
        <w:t>2.7 Identidade visual e acessibilidade</w:t>
        <w:tab/>
      </w:r>
      <w:r>
        <w:fldChar w:fldCharType="begin"/>
      </w:r>
      <w:r>
        <w:instrText>PAGEREF sec11 \h</w:instrText>
      </w:r>
      <w:r>
        <w:fldChar w:fldCharType="separate"/>
      </w:r>
      <w:r>
        <w:t>10</w:t>
      </w:r>
      <w:r>
        <w:fldChar w:fldCharType="end"/>
      </w:r>
    </w:p>
    <w:p>
      <w:pPr>
        <w:tabs>
          <w:tab w:pos="9071" w:val="right" w:leader="dot"/>
        </w:tabs>
        <w:spacing w:line="360" w:lineRule="auto"/>
        <w:ind w:firstLine="0" w:left="0"/>
      </w:pPr>
      <w:r>
        <w:t>3 ARQUITETURA E TECNOLOGIAS</w:t>
        <w:tab/>
      </w:r>
      <w:r>
        <w:fldChar w:fldCharType="begin"/>
      </w:r>
      <w:r>
        <w:instrText>PAGEREF sec12 \h</w:instrText>
      </w:r>
      <w:r>
        <w:fldChar w:fldCharType="separate"/>
      </w:r>
      <w:r>
        <w:t>11</w:t>
      </w:r>
      <w:r>
        <w:fldChar w:fldCharType="end"/>
      </w:r>
    </w:p>
    <w:p>
      <w:pPr>
        <w:tabs>
          <w:tab w:pos="9071" w:val="right" w:leader="dot"/>
        </w:tabs>
        <w:spacing w:line="360" w:lineRule="auto"/>
        <w:ind w:firstLine="0" w:left="283"/>
      </w:pPr>
      <w:r>
        <w:t>3.1 Visão geral</w:t>
        <w:tab/>
      </w:r>
      <w:r>
        <w:fldChar w:fldCharType="begin"/>
      </w:r>
      <w:r>
        <w:instrText>PAGEREF sec13 \h</w:instrText>
      </w:r>
      <w:r>
        <w:fldChar w:fldCharType="separate"/>
      </w:r>
      <w:r>
        <w:t>11</w:t>
      </w:r>
      <w:r>
        <w:fldChar w:fldCharType="end"/>
      </w:r>
    </w:p>
    <w:p>
      <w:pPr>
        <w:tabs>
          <w:tab w:pos="9071" w:val="right" w:leader="dot"/>
        </w:tabs>
        <w:spacing w:line="360" w:lineRule="auto"/>
        <w:ind w:firstLine="0" w:left="283"/>
      </w:pPr>
      <w:r>
        <w:t>3.2 Como entender a stack</w:t>
        <w:tab/>
      </w:r>
      <w:r>
        <w:fldChar w:fldCharType="begin"/>
      </w:r>
      <w:r>
        <w:instrText>PAGEREF sec14 \h</w:instrText>
      </w:r>
      <w:r>
        <w:fldChar w:fldCharType="separate"/>
      </w:r>
      <w:r>
        <w:t>11</w:t>
      </w:r>
      <w:r>
        <w:fldChar w:fldCharType="end"/>
      </w:r>
    </w:p>
    <w:p>
      <w:pPr>
        <w:tabs>
          <w:tab w:pos="9071" w:val="right" w:leader="dot"/>
        </w:tabs>
        <w:spacing w:line="360" w:lineRule="auto"/>
        <w:ind w:firstLine="0" w:left="283"/>
      </w:pPr>
      <w:r>
        <w:t>3.3 Organização do código</w:t>
        <w:tab/>
      </w:r>
      <w:r>
        <w:fldChar w:fldCharType="begin"/>
      </w:r>
      <w:r>
        <w:instrText>PAGEREF sec15 \h</w:instrText>
      </w:r>
      <w:r>
        <w:fldChar w:fldCharType="separate"/>
      </w:r>
      <w:r>
        <w:t>13</w:t>
      </w:r>
      <w:r>
        <w:fldChar w:fldCharType="end"/>
      </w:r>
    </w:p>
    <w:p>
      <w:pPr>
        <w:tabs>
          <w:tab w:pos="9071" w:val="right" w:leader="dot"/>
        </w:tabs>
        <w:spacing w:line="360" w:lineRule="auto"/>
        <w:ind w:firstLine="0" w:left="283"/>
      </w:pPr>
      <w:r>
        <w:t>3.4 Caminho de uma operação</w:t>
        <w:tab/>
      </w:r>
      <w:r>
        <w:fldChar w:fldCharType="begin"/>
      </w:r>
      <w:r>
        <w:instrText>PAGEREF sec16 \h</w:instrText>
      </w:r>
      <w:r>
        <w:fldChar w:fldCharType="separate"/>
      </w:r>
      <w:r>
        <w:t>13</w:t>
      </w:r>
      <w:r>
        <w:fldChar w:fldCharType="end"/>
      </w:r>
    </w:p>
    <w:p>
      <w:pPr>
        <w:tabs>
          <w:tab w:pos="9071" w:val="right" w:leader="dot"/>
        </w:tabs>
        <w:spacing w:line="360" w:lineRule="auto"/>
        <w:ind w:firstLine="0" w:left="283"/>
      </w:pPr>
      <w:r>
        <w:t>3.5 Persistência e processamento</w:t>
        <w:tab/>
      </w:r>
      <w:r>
        <w:fldChar w:fldCharType="begin"/>
      </w:r>
      <w:r>
        <w:instrText>PAGEREF sec17 \h</w:instrText>
      </w:r>
      <w:r>
        <w:fldChar w:fldCharType="separate"/>
      </w:r>
      <w:r>
        <w:t>14</w:t>
      </w:r>
      <w:r>
        <w:fldChar w:fldCharType="end"/>
      </w:r>
    </w:p>
    <w:p>
      <w:pPr>
        <w:tabs>
          <w:tab w:pos="9071" w:val="right" w:leader="dot"/>
        </w:tabs>
        <w:spacing w:line="360" w:lineRule="auto"/>
        <w:ind w:firstLine="0" w:left="0"/>
      </w:pPr>
      <w:r>
        <w:t>4 BANCO DE DADOS E INTEGRAÇÕES ENTRE REGISTROS</w:t>
        <w:tab/>
      </w:r>
      <w:r>
        <w:fldChar w:fldCharType="begin"/>
      </w:r>
      <w:r>
        <w:instrText>PAGEREF sec18 \h</w:instrText>
      </w:r>
      <w:r>
        <w:fldChar w:fldCharType="separate"/>
      </w:r>
      <w:r>
        <w:t>15</w:t>
      </w:r>
      <w:r>
        <w:fldChar w:fldCharType="end"/>
      </w:r>
    </w:p>
    <w:p>
      <w:pPr>
        <w:tabs>
          <w:tab w:pos="9071" w:val="right" w:leader="dot"/>
        </w:tabs>
        <w:spacing w:line="360" w:lineRule="auto"/>
        <w:ind w:firstLine="0" w:left="283"/>
      </w:pPr>
      <w:r>
        <w:t>4.1 Persistência e integridade</w:t>
        <w:tab/>
      </w:r>
      <w:r>
        <w:fldChar w:fldCharType="begin"/>
      </w:r>
      <w:r>
        <w:instrText>PAGEREF sec19 \h</w:instrText>
      </w:r>
      <w:r>
        <w:fldChar w:fldCharType="separate"/>
      </w:r>
      <w:r>
        <w:t>15</w:t>
      </w:r>
      <w:r>
        <w:fldChar w:fldCharType="end"/>
      </w:r>
    </w:p>
    <w:p>
      <w:pPr>
        <w:tabs>
          <w:tab w:pos="9071" w:val="right" w:leader="dot"/>
        </w:tabs>
        <w:spacing w:line="360" w:lineRule="auto"/>
        <w:ind w:firstLine="0" w:left="283"/>
      </w:pPr>
      <w:r>
        <w:t>4.2 Contexto e concorrência</w:t>
        <w:tab/>
      </w:r>
      <w:r>
        <w:fldChar w:fldCharType="begin"/>
      </w:r>
      <w:r>
        <w:instrText>PAGEREF sec20 \h</w:instrText>
      </w:r>
      <w:r>
        <w:fldChar w:fldCharType="separate"/>
      </w:r>
      <w:r>
        <w:t>15</w:t>
      </w:r>
      <w:r>
        <w:fldChar w:fldCharType="end"/>
      </w:r>
    </w:p>
    <w:p>
      <w:pPr>
        <w:tabs>
          <w:tab w:pos="9071" w:val="right" w:leader="dot"/>
        </w:tabs>
        <w:spacing w:line="360" w:lineRule="auto"/>
        <w:ind w:firstLine="0" w:left="0"/>
      </w:pPr>
      <w:r>
        <w:t>5 SEGURANÇA E PRIVACIDADE</w:t>
        <w:tab/>
      </w:r>
      <w:r>
        <w:fldChar w:fldCharType="begin"/>
      </w:r>
      <w:r>
        <w:instrText>PAGEREF sec21 \h</w:instrText>
      </w:r>
      <w:r>
        <w:fldChar w:fldCharType="separate"/>
      </w:r>
      <w:r>
        <w:t>16</w:t>
      </w:r>
      <w:r>
        <w:fldChar w:fldCharType="end"/>
      </w:r>
    </w:p>
    <w:p>
      <w:pPr>
        <w:tabs>
          <w:tab w:pos="9071" w:val="right" w:leader="dot"/>
        </w:tabs>
        <w:spacing w:line="360" w:lineRule="auto"/>
        <w:ind w:firstLine="0" w:left="283"/>
      </w:pPr>
      <w:r>
        <w:t>5.1 Autenticação e sessões</w:t>
        <w:tab/>
      </w:r>
      <w:r>
        <w:fldChar w:fldCharType="begin"/>
      </w:r>
      <w:r>
        <w:instrText>PAGEREF sec22 \h</w:instrText>
      </w:r>
      <w:r>
        <w:fldChar w:fldCharType="separate"/>
      </w:r>
      <w:r>
        <w:t>16</w:t>
      </w:r>
      <w:r>
        <w:fldChar w:fldCharType="end"/>
      </w:r>
    </w:p>
    <w:p>
      <w:pPr>
        <w:tabs>
          <w:tab w:pos="9071" w:val="right" w:leader="dot"/>
        </w:tabs>
        <w:spacing w:line="360" w:lineRule="auto"/>
        <w:ind w:firstLine="0" w:left="283"/>
      </w:pPr>
      <w:r>
        <w:t>5.2 Autorização e empresas</w:t>
        <w:tab/>
      </w:r>
      <w:r>
        <w:fldChar w:fldCharType="begin"/>
      </w:r>
      <w:r>
        <w:instrText>PAGEREF sec23 \h</w:instrText>
      </w:r>
      <w:r>
        <w:fldChar w:fldCharType="separate"/>
      </w:r>
      <w:r>
        <w:t>16</w:t>
      </w:r>
      <w:r>
        <w:fldChar w:fldCharType="end"/>
      </w:r>
    </w:p>
    <w:p>
      <w:pPr>
        <w:tabs>
          <w:tab w:pos="9071" w:val="right" w:leader="dot"/>
        </w:tabs>
        <w:spacing w:line="360" w:lineRule="auto"/>
        <w:ind w:firstLine="0" w:left="283"/>
      </w:pPr>
      <w:r>
        <w:t>5.3 Fronteiras da API e navegador</w:t>
        <w:tab/>
      </w:r>
      <w:r>
        <w:fldChar w:fldCharType="begin"/>
      </w:r>
      <w:r>
        <w:instrText>PAGEREF sec24 \h</w:instrText>
      </w:r>
      <w:r>
        <w:fldChar w:fldCharType="separate"/>
      </w:r>
      <w:r>
        <w:t>17</w:t>
      </w:r>
      <w:r>
        <w:fldChar w:fldCharType="end"/>
      </w:r>
    </w:p>
    <w:p>
      <w:pPr>
        <w:tabs>
          <w:tab w:pos="9071" w:val="right" w:leader="dot"/>
        </w:tabs>
        <w:spacing w:line="360" w:lineRule="auto"/>
        <w:ind w:firstLine="0" w:left="283"/>
      </w:pPr>
      <w:r>
        <w:t>5.4 Privacidade e dados pessoais</w:t>
        <w:tab/>
      </w:r>
      <w:r>
        <w:fldChar w:fldCharType="begin"/>
      </w:r>
      <w:r>
        <w:instrText>PAGEREF sec25 \h</w:instrText>
      </w:r>
      <w:r>
        <w:fldChar w:fldCharType="separate"/>
      </w:r>
      <w:r>
        <w:t>17</w:t>
      </w:r>
      <w:r>
        <w:fldChar w:fldCharType="end"/>
      </w:r>
    </w:p>
    <w:p>
      <w:pPr>
        <w:tabs>
          <w:tab w:pos="9071" w:val="right" w:leader="dot"/>
        </w:tabs>
        <w:spacing w:line="360" w:lineRule="auto"/>
        <w:ind w:firstLine="0" w:left="283"/>
      </w:pPr>
      <w:r>
        <w:t>5.5 Segredos e resposta a incidentes</w:t>
        <w:tab/>
      </w:r>
      <w:r>
        <w:fldChar w:fldCharType="begin"/>
      </w:r>
      <w:r>
        <w:instrText>PAGEREF sec26 \h</w:instrText>
      </w:r>
      <w:r>
        <w:fldChar w:fldCharType="separate"/>
      </w:r>
      <w:r>
        <w:t>18</w:t>
      </w:r>
      <w:r>
        <w:fldChar w:fldCharType="end"/>
      </w:r>
    </w:p>
    <w:p>
      <w:pPr>
        <w:tabs>
          <w:tab w:pos="9071" w:val="right" w:leader="dot"/>
        </w:tabs>
        <w:spacing w:line="360" w:lineRule="auto"/>
        <w:ind w:firstLine="0" w:left="283"/>
      </w:pPr>
      <w:r>
        <w:t>5.6 Verificações e limitações</w:t>
        <w:tab/>
      </w:r>
      <w:r>
        <w:fldChar w:fldCharType="begin"/>
      </w:r>
      <w:r>
        <w:instrText>PAGEREF sec27 \h</w:instrText>
      </w:r>
      <w:r>
        <w:fldChar w:fldCharType="separate"/>
      </w:r>
      <w:r>
        <w:t>18</w:t>
      </w:r>
      <w:r>
        <w:fldChar w:fldCharType="end"/>
      </w:r>
    </w:p>
    <w:p>
      <w:pPr>
        <w:tabs>
          <w:tab w:pos="9071" w:val="right" w:leader="dot"/>
        </w:tabs>
        <w:spacing w:line="360" w:lineRule="auto"/>
        <w:ind w:firstLine="0" w:left="0"/>
      </w:pPr>
      <w:r>
        <w:t>6 DESENVOLVIMENTO E INSTALAÇÃO</w:t>
        <w:tab/>
      </w:r>
      <w:r>
        <w:fldChar w:fldCharType="begin"/>
      </w:r>
      <w:r>
        <w:instrText>PAGEREF sec28 \h</w:instrText>
      </w:r>
      <w:r>
        <w:fldChar w:fldCharType="separate"/>
      </w:r>
      <w:r>
        <w:t>19</w:t>
      </w:r>
      <w:r>
        <w:fldChar w:fldCharType="end"/>
      </w:r>
    </w:p>
    <w:p>
      <w:pPr>
        <w:tabs>
          <w:tab w:pos="9071" w:val="right" w:leader="dot"/>
        </w:tabs>
        <w:spacing w:line="360" w:lineRule="auto"/>
        <w:ind w:firstLine="0" w:left="283"/>
      </w:pPr>
      <w:r>
        <w:t>6.1 Pré-requisitos</w:t>
        <w:tab/>
      </w:r>
      <w:r>
        <w:fldChar w:fldCharType="begin"/>
      </w:r>
      <w:r>
        <w:instrText>PAGEREF sec29 \h</w:instrText>
      </w:r>
      <w:r>
        <w:fldChar w:fldCharType="separate"/>
      </w:r>
      <w:r>
        <w:t>19</w:t>
      </w:r>
      <w:r>
        <w:fldChar w:fldCharType="end"/>
      </w:r>
    </w:p>
    <w:p>
      <w:pPr>
        <w:tabs>
          <w:tab w:pos="9071" w:val="right" w:leader="dot"/>
        </w:tabs>
        <w:spacing w:line="360" w:lineRule="auto"/>
        <w:ind w:firstLine="0" w:left="283"/>
      </w:pPr>
      <w:r>
        <w:t>6.2 Preparar o ambiente</w:t>
        <w:tab/>
      </w:r>
      <w:r>
        <w:fldChar w:fldCharType="begin"/>
      </w:r>
      <w:r>
        <w:instrText>PAGEREF sec30 \h</w:instrText>
      </w:r>
      <w:r>
        <w:fldChar w:fldCharType="separate"/>
      </w:r>
      <w:r>
        <w:t>19</w:t>
      </w:r>
      <w:r>
        <w:fldChar w:fldCharType="end"/>
      </w:r>
    </w:p>
    <w:p>
      <w:pPr>
        <w:tabs>
          <w:tab w:pos="9071" w:val="right" w:leader="dot"/>
        </w:tabs>
        <w:spacing w:line="360" w:lineRule="auto"/>
        <w:ind w:firstLine="0" w:left="283"/>
      </w:pPr>
      <w:r>
        <w:t>6.3 Preparar o banco e iniciar</w:t>
        <w:tab/>
      </w:r>
      <w:r>
        <w:fldChar w:fldCharType="begin"/>
      </w:r>
      <w:r>
        <w:instrText>PAGEREF sec31 \h</w:instrText>
      </w:r>
      <w:r>
        <w:fldChar w:fldCharType="separate"/>
      </w:r>
      <w:r>
        <w:t>20</w:t>
      </w:r>
      <w:r>
        <w:fldChar w:fldCharType="end"/>
      </w:r>
    </w:p>
    <w:p>
      <w:pPr>
        <w:tabs>
          <w:tab w:pos="9071" w:val="right" w:leader="dot"/>
        </w:tabs>
        <w:spacing w:line="360" w:lineRule="auto"/>
        <w:ind w:firstLine="0" w:left="283"/>
      </w:pPr>
      <w:r>
        <w:t>6.4 Endereços</w:t>
        <w:tab/>
      </w:r>
      <w:r>
        <w:fldChar w:fldCharType="begin"/>
      </w:r>
      <w:r>
        <w:instrText>PAGEREF sec32 \h</w:instrText>
      </w:r>
      <w:r>
        <w:fldChar w:fldCharType="separate"/>
      </w:r>
      <w:r>
        <w:t>20</w:t>
      </w:r>
      <w:r>
        <w:fldChar w:fldCharType="end"/>
      </w:r>
    </w:p>
    <w:p>
      <w:pPr>
        <w:tabs>
          <w:tab w:pos="9071" w:val="right" w:leader="dot"/>
        </w:tabs>
        <w:spacing w:line="360" w:lineRule="auto"/>
        <w:ind w:firstLine="0" w:left="283"/>
      </w:pPr>
      <w:r>
        <w:t>6.5 Comandos de manutenção</w:t>
        <w:tab/>
      </w:r>
      <w:r>
        <w:fldChar w:fldCharType="begin"/>
      </w:r>
      <w:r>
        <w:instrText>PAGEREF sec33 \h</w:instrText>
      </w:r>
      <w:r>
        <w:fldChar w:fldCharType="separate"/>
      </w:r>
      <w:r>
        <w:t>20</w:t>
      </w:r>
      <w:r>
        <w:fldChar w:fldCharType="end"/>
      </w:r>
    </w:p>
    <w:p>
      <w:pPr>
        <w:tabs>
          <w:tab w:pos="9071" w:val="right" w:leader="dot"/>
        </w:tabs>
        <w:spacing w:line="360" w:lineRule="auto"/>
        <w:ind w:firstLine="0" w:left="283"/>
      </w:pPr>
      <w:r>
        <w:t>6.6 Trabalho com economia de contexto</w:t>
        <w:tab/>
      </w:r>
      <w:r>
        <w:fldChar w:fldCharType="begin"/>
      </w:r>
      <w:r>
        <w:instrText>PAGEREF sec34 \h</w:instrText>
      </w:r>
      <w:r>
        <w:fldChar w:fldCharType="separate"/>
      </w:r>
      <w:r>
        <w:t>21</w:t>
      </w:r>
      <w:r>
        <w:fldChar w:fldCharType="end"/>
      </w:r>
    </w:p>
    <w:p>
      <w:pPr>
        <w:tabs>
          <w:tab w:pos="9071" w:val="right" w:leader="dot"/>
        </w:tabs>
        <w:spacing w:line="360" w:lineRule="auto"/>
        <w:ind w:firstLine="0" w:left="283"/>
      </w:pPr>
      <w:r>
        <w:t>6.7 Manter esta documentação</w:t>
        <w:tab/>
      </w:r>
      <w:r>
        <w:fldChar w:fldCharType="begin"/>
      </w:r>
      <w:r>
        <w:instrText>PAGEREF sec35 \h</w:instrText>
      </w:r>
      <w:r>
        <w:fldChar w:fldCharType="separate"/>
      </w:r>
      <w:r>
        <w:t>21</w:t>
      </w:r>
      <w:r>
        <w:fldChar w:fldCharType="end"/>
      </w:r>
    </w:p>
    <w:p>
      <w:pPr>
        <w:tabs>
          <w:tab w:pos="9071" w:val="right" w:leader="dot"/>
        </w:tabs>
        <w:spacing w:line="360" w:lineRule="auto"/>
        <w:ind w:firstLine="0" w:left="0"/>
      </w:pPr>
      <w:r>
        <w:t>7 OPERAÇÃO E INTEGRAÇÕES EXTERNAS</w:t>
        <w:tab/>
      </w:r>
      <w:r>
        <w:fldChar w:fldCharType="begin"/>
      </w:r>
      <w:r>
        <w:instrText>PAGEREF sec36 \h</w:instrText>
      </w:r>
      <w:r>
        <w:fldChar w:fldCharType="separate"/>
      </w:r>
      <w:r>
        <w:t>22</w:t>
      </w:r>
      <w:r>
        <w:fldChar w:fldCharType="end"/>
      </w:r>
    </w:p>
    <w:p>
      <w:pPr>
        <w:tabs>
          <w:tab w:pos="9071" w:val="right" w:leader="dot"/>
        </w:tabs>
        <w:spacing w:line="360" w:lineRule="auto"/>
        <w:ind w:firstLine="0" w:left="283"/>
      </w:pPr>
      <w:r>
        <w:t>7.1 Ambientes e publicação</w:t>
        <w:tab/>
      </w:r>
      <w:r>
        <w:fldChar w:fldCharType="begin"/>
      </w:r>
      <w:r>
        <w:instrText>PAGEREF sec37 \h</w:instrText>
      </w:r>
      <w:r>
        <w:fldChar w:fldCharType="separate"/>
      </w:r>
      <w:r>
        <w:t>22</w:t>
      </w:r>
      <w:r>
        <w:fldChar w:fldCharType="end"/>
      </w:r>
    </w:p>
    <w:p>
      <w:pPr>
        <w:tabs>
          <w:tab w:pos="9071" w:val="right" w:leader="dot"/>
        </w:tabs>
        <w:spacing w:line="360" w:lineRule="auto"/>
        <w:ind w:firstLine="0" w:left="283"/>
      </w:pPr>
      <w:r>
        <w:t>7.2 Incidentes de hospedagem</w:t>
        <w:tab/>
      </w:r>
      <w:r>
        <w:fldChar w:fldCharType="begin"/>
      </w:r>
      <w:r>
        <w:instrText>PAGEREF sec38 \h</w:instrText>
      </w:r>
      <w:r>
        <w:fldChar w:fldCharType="separate"/>
      </w:r>
      <w:r>
        <w:t>22</w:t>
      </w:r>
      <w:r>
        <w:fldChar w:fldCharType="end"/>
      </w:r>
    </w:p>
    <w:p>
      <w:pPr>
        <w:tabs>
          <w:tab w:pos="9071" w:val="right" w:leader="dot"/>
        </w:tabs>
        <w:spacing w:line="360" w:lineRule="auto"/>
        <w:ind w:firstLine="0" w:left="283"/>
      </w:pPr>
      <w:r>
        <w:t>7.3 Google</w:t>
        <w:tab/>
      </w:r>
      <w:r>
        <w:fldChar w:fldCharType="begin"/>
      </w:r>
      <w:r>
        <w:instrText>PAGEREF sec39 \h</w:instrText>
      </w:r>
      <w:r>
        <w:fldChar w:fldCharType="separate"/>
      </w:r>
      <w:r>
        <w:t>23</w:t>
      </w:r>
      <w:r>
        <w:fldChar w:fldCharType="end"/>
      </w:r>
    </w:p>
    <w:p>
      <w:pPr>
        <w:tabs>
          <w:tab w:pos="9071" w:val="right" w:leader="dot"/>
        </w:tabs>
        <w:spacing w:line="360" w:lineRule="auto"/>
        <w:ind w:firstLine="0" w:left="283"/>
      </w:pPr>
      <w:r>
        <w:t>7.4 Assinaturas Stripe</w:t>
        <w:tab/>
      </w:r>
      <w:r>
        <w:fldChar w:fldCharType="begin"/>
      </w:r>
      <w:r>
        <w:instrText>PAGEREF sec40 \h</w:instrText>
      </w:r>
      <w:r>
        <w:fldChar w:fldCharType="separate"/>
      </w:r>
      <w:r>
        <w:t>23</w:t>
      </w:r>
      <w:r>
        <w:fldChar w:fldCharType="end"/>
      </w:r>
    </w:p>
    <w:p>
      <w:pPr>
        <w:tabs>
          <w:tab w:pos="9071" w:val="right" w:leader="dot"/>
        </w:tabs>
        <w:spacing w:line="360" w:lineRule="auto"/>
        <w:ind w:firstLine="0" w:left="283"/>
      </w:pPr>
      <w:r>
        <w:t>7.5 E-mail e WhatsApp</w:t>
        <w:tab/>
      </w:r>
      <w:r>
        <w:fldChar w:fldCharType="begin"/>
      </w:r>
      <w:r>
        <w:instrText>PAGEREF sec41 \h</w:instrText>
      </w:r>
      <w:r>
        <w:fldChar w:fldCharType="separate"/>
      </w:r>
      <w:r>
        <w:t>24</w:t>
      </w:r>
      <w:r>
        <w:fldChar w:fldCharType="end"/>
      </w:r>
    </w:p>
    <w:p>
      <w:pPr>
        <w:tabs>
          <w:tab w:pos="9071" w:val="right" w:leader="dot"/>
        </w:tabs>
        <w:spacing w:line="360" w:lineRule="auto"/>
        <w:ind w:firstLine="0" w:left="283"/>
      </w:pPr>
      <w:r>
        <w:t>7.6 Backup e recuperação</w:t>
        <w:tab/>
      </w:r>
      <w:r>
        <w:fldChar w:fldCharType="begin"/>
      </w:r>
      <w:r>
        <w:instrText>PAGEREF sec42 \h</w:instrText>
      </w:r>
      <w:r>
        <w:fldChar w:fldCharType="separate"/>
      </w:r>
      <w:r>
        <w:t>24</w:t>
      </w:r>
      <w:r>
        <w:fldChar w:fldCharType="end"/>
      </w:r>
    </w:p>
    <w:p>
      <w:pPr>
        <w:tabs>
          <w:tab w:pos="9071" w:val="right" w:leader="dot"/>
        </w:tabs>
        <w:spacing w:line="360" w:lineRule="auto"/>
        <w:ind w:firstLine="0" w:left="283"/>
      </w:pPr>
      <w:r>
        <w:t>7.7 Suporte e prontidão comercial</w:t>
        <w:tab/>
      </w:r>
      <w:r>
        <w:fldChar w:fldCharType="begin"/>
      </w:r>
      <w:r>
        <w:instrText>PAGEREF sec43 \h</w:instrText>
      </w:r>
      <w:r>
        <w:fldChar w:fldCharType="separate"/>
      </w:r>
      <w:r>
        <w:t>25</w:t>
      </w:r>
      <w:r>
        <w:fldChar w:fldCharType="end"/>
      </w:r>
    </w:p>
    <w:p>
      <w:pPr>
        <w:tabs>
          <w:tab w:pos="9071" w:val="right" w:leader="dot"/>
        </w:tabs>
        <w:spacing w:line="360" w:lineRule="auto"/>
        <w:ind w:firstLine="0" w:left="0"/>
      </w:pPr>
      <w:r>
        <w:t>8 QUALIDADE E TESTES</w:t>
        <w:tab/>
      </w:r>
      <w:r>
        <w:fldChar w:fldCharType="begin"/>
      </w:r>
      <w:r>
        <w:instrText>PAGEREF sec44 \h</w:instrText>
      </w:r>
      <w:r>
        <w:fldChar w:fldCharType="separate"/>
      </w:r>
      <w:r>
        <w:t>26</w:t>
      </w:r>
      <w:r>
        <w:fldChar w:fldCharType="end"/>
      </w:r>
    </w:p>
    <w:p>
      <w:pPr>
        <w:tabs>
          <w:tab w:pos="9071" w:val="right" w:leader="dot"/>
        </w:tabs>
        <w:spacing w:line="360" w:lineRule="auto"/>
        <w:ind w:firstLine="0" w:left="283"/>
      </w:pPr>
      <w:r>
        <w:t>8.1 Objetivo e ambiente</w:t>
        <w:tab/>
      </w:r>
      <w:r>
        <w:fldChar w:fldCharType="begin"/>
      </w:r>
      <w:r>
        <w:instrText>PAGEREF sec45 \h</w:instrText>
      </w:r>
      <w:r>
        <w:fldChar w:fldCharType="separate"/>
      </w:r>
      <w:r>
        <w:t>26</w:t>
      </w:r>
      <w:r>
        <w:fldChar w:fldCharType="end"/>
      </w:r>
    </w:p>
    <w:p>
      <w:pPr>
        <w:tabs>
          <w:tab w:pos="9071" w:val="right" w:leader="dot"/>
        </w:tabs>
        <w:spacing w:line="360" w:lineRule="auto"/>
        <w:ind w:firstLine="0" w:left="283"/>
      </w:pPr>
      <w:r>
        <w:t>8.2 Como executar</w:t>
        <w:tab/>
      </w:r>
      <w:r>
        <w:fldChar w:fldCharType="begin"/>
      </w:r>
      <w:r>
        <w:instrText>PAGEREF sec46 \h</w:instrText>
      </w:r>
      <w:r>
        <w:fldChar w:fldCharType="separate"/>
      </w:r>
      <w:r>
        <w:t>26</w:t>
      </w:r>
      <w:r>
        <w:fldChar w:fldCharType="end"/>
      </w:r>
    </w:p>
    <w:p>
      <w:pPr>
        <w:tabs>
          <w:tab w:pos="9071" w:val="right" w:leader="dot"/>
        </w:tabs>
        <w:spacing w:line="360" w:lineRule="auto"/>
        <w:ind w:firstLine="0" w:left="283"/>
      </w:pPr>
      <w:r>
        <w:t>8.3 Registro de evidências</w:t>
        <w:tab/>
      </w:r>
      <w:r>
        <w:fldChar w:fldCharType="begin"/>
      </w:r>
      <w:r>
        <w:instrText>PAGEREF sec47 \h</w:instrText>
      </w:r>
      <w:r>
        <w:fldChar w:fldCharType="separate"/>
      </w:r>
      <w:r>
        <w:t>26</w:t>
      </w:r>
      <w:r>
        <w:fldChar w:fldCharType="end"/>
      </w:r>
    </w:p>
    <w:p>
      <w:pPr>
        <w:tabs>
          <w:tab w:pos="9071" w:val="right" w:leader="dot"/>
        </w:tabs>
        <w:spacing w:line="360" w:lineRule="auto"/>
        <w:ind w:firstLine="0" w:left="283"/>
      </w:pPr>
      <w:r>
        <w:t>8.4 Critérios de liberação</w:t>
        <w:tab/>
      </w:r>
      <w:r>
        <w:fldChar w:fldCharType="begin"/>
      </w:r>
      <w:r>
        <w:instrText>PAGEREF sec48 \h</w:instrText>
      </w:r>
      <w:r>
        <w:fldChar w:fldCharType="separate"/>
      </w:r>
      <w:r>
        <w:t>27</w:t>
      </w:r>
      <w:r>
        <w:fldChar w:fldCharType="end"/>
      </w:r>
    </w:p>
    <w:p>
      <w:pPr>
        <w:tabs>
          <w:tab w:pos="9071" w:val="right" w:leader="dot"/>
        </w:tabs>
        <w:spacing w:line="360" w:lineRule="auto"/>
        <w:ind w:firstLine="0" w:left="0"/>
      </w:pPr>
      <w:r>
        <w:t>9 EVOLUÇÃO DOCUMENTADA</w:t>
        <w:tab/>
      </w:r>
      <w:r>
        <w:fldChar w:fldCharType="begin"/>
      </w:r>
      <w:r>
        <w:instrText>PAGEREF sec49 \h</w:instrText>
      </w:r>
      <w:r>
        <w:fldChar w:fldCharType="separate"/>
      </w:r>
      <w:r>
        <w:t>28</w:t>
      </w:r>
      <w:r>
        <w:fldChar w:fldCharType="end"/>
      </w:r>
    </w:p>
    <w:p>
      <w:pPr>
        <w:tabs>
          <w:tab w:pos="9071" w:val="right" w:leader="dot"/>
        </w:tabs>
        <w:spacing w:line="360" w:lineRule="auto"/>
        <w:ind w:firstLine="0" w:left="283"/>
      </w:pPr>
      <w:r>
        <w:t>9.1 Outubro de 2026</w:t>
        <w:tab/>
      </w:r>
      <w:r>
        <w:fldChar w:fldCharType="begin"/>
      </w:r>
      <w:r>
        <w:instrText>PAGEREF sec50 \h</w:instrText>
      </w:r>
      <w:r>
        <w:fldChar w:fldCharType="separate"/>
      </w:r>
      <w:r>
        <w:t>28</w:t>
      </w:r>
      <w:r>
        <w:fldChar w:fldCharType="end"/>
      </w:r>
    </w:p>
    <w:p>
      <w:pPr>
        <w:tabs>
          <w:tab w:pos="9071" w:val="right" w:leader="dot"/>
        </w:tabs>
        <w:spacing w:line="360" w:lineRule="auto"/>
        <w:ind w:firstLine="0" w:left="283"/>
      </w:pPr>
      <w:r>
        <w:t>9.2 Revisão de 21 e 22 de outubro</w:t>
        <w:tab/>
      </w:r>
      <w:r>
        <w:fldChar w:fldCharType="begin"/>
      </w:r>
      <w:r>
        <w:instrText>PAGEREF sec51 \h</w:instrText>
      </w:r>
      <w:r>
        <w:fldChar w:fldCharType="separate"/>
      </w:r>
      <w:r>
        <w:t>28</w:t>
      </w:r>
      <w:r>
        <w:fldChar w:fldCharType="end"/>
      </w:r>
    </w:p>
    <w:p>
      <w:pPr>
        <w:tabs>
          <w:tab w:pos="9071" w:val="right" w:leader="dot"/>
        </w:tabs>
        <w:spacing w:line="360" w:lineRule="auto"/>
        <w:ind w:firstLine="0" w:left="283"/>
      </w:pPr>
      <w:r>
        <w:t>9.3 Documentação de 23 de outubro</w:t>
        <w:tab/>
      </w:r>
      <w:r>
        <w:fldChar w:fldCharType="begin"/>
      </w:r>
      <w:r>
        <w:instrText>PAGEREF sec52 \h</w:instrText>
      </w:r>
      <w:r>
        <w:fldChar w:fldCharType="separate"/>
      </w:r>
      <w:r>
        <w:t>28</w:t>
      </w:r>
      <w:r>
        <w:fldChar w:fldCharType="end"/>
      </w:r>
    </w:p>
    <w:p>
      <w:pPr>
        <w:tabs>
          <w:tab w:pos="9071" w:val="right" w:leader="dot"/>
        </w:tabs>
        <w:spacing w:line="360" w:lineRule="auto"/>
        <w:ind w:firstLine="0" w:left="0"/>
      </w:pPr>
      <w:r>
        <w:t>10 CONSIDERAÇÕES FINAIS</w:t>
        <w:tab/>
      </w:r>
      <w:r>
        <w:fldChar w:fldCharType="begin"/>
      </w:r>
      <w:r>
        <w:instrText>PAGEREF sec53 \h</w:instrText>
      </w:r>
      <w:r>
        <w:fldChar w:fldCharType="separate"/>
      </w:r>
      <w:r>
        <w:t>30</w:t>
      </w:r>
      <w:r>
        <w:fldChar w:fldCharType="end"/>
      </w:r>
    </w:p>
    <w:p>
      <w:pPr>
        <w:tabs>
          <w:tab w:pos="9071" w:val="right" w:leader="dot"/>
        </w:tabs>
        <w:spacing w:line="360" w:lineRule="auto"/>
        <w:ind w:firstLine="0" w:left="0"/>
      </w:pPr>
      <w:r>
        <w:t>REFERÊNCIAS</w:t>
        <w:tab/>
      </w:r>
      <w:r>
        <w:fldChar w:fldCharType="begin"/>
      </w:r>
      <w:r>
        <w:instrText>PAGEREF sec54 \h</w:instrText>
      </w:r>
      <w:r>
        <w:fldChar w:fldCharType="separate"/>
      </w:r>
      <w:r>
        <w:t>31</w:t>
      </w:r>
      <w:r>
        <w:fldChar w:fldCharType="end"/>
      </w:r>
      <w:r>
        <w:fldChar w:fldCharType="end"/>
      </w:r>
    </w:p>
    <w:p>
      <w:pPr>
        <w:sectPr>
          <w:headerReference w:type="default" r:id="rId10"/>
          <w:pgSz w:w="11906" w:h="16838"/>
          <w:pgMar w:top="1701" w:right="1134" w:bottom="1134" w:left="1701" w:header="850" w:footer="680" w:gutter="0"/>
          <w:cols w:space="720"/>
          <w:docGrid w:linePitch="360"/>
          <w:pgNumType w:start="1"/>
        </w:sectPr>
      </w:pPr>
    </w:p>
    <w:p>
      <w:bookmarkStart w:id="1" w:name="sec1"/>
      <w:pPr>
        <w:pStyle w:val="Heading1"/>
      </w:pPr>
      <w:r>
        <w:t>1 INTRODUÇÃO</w:t>
      </w:r>
      <w:bookmarkEnd w:id="1"/>
    </w:p>
    <w:p>
      <w:pPr>
        <w:jc w:val="both"/>
      </w:pPr>
      <w:r>
        <w:t>O Nexly foi desenvolvido para negócios que dividem sua rotina entre agenda, atendimento e controle de materiais. Este documento apresenta a versão descrita no repositório em 23 de outubro de 2026. O propósito é explicar o funcionamento do produto, as tecnologias empregadas e os cuidados necessários à continuidade do serviço.</w:t>
      </w:r>
    </w:p>
    <w:p>
      <w:bookmarkStart w:id="2" w:name="sec2"/>
      <w:pPr>
        <w:pStyle w:val="Heading2"/>
      </w:pPr>
      <w:r>
        <w:t>1.1 Método e escopo</w:t>
      </w:r>
      <w:bookmarkEnd w:id="2"/>
    </w:p>
    <w:p>
      <w:pPr>
        <w:jc w:val="both"/>
      </w:pPr>
      <w:r>
        <w:t>A análise documental utiliza código, migrações, modelos compartilhados, protótipo e registros de execução. Implementação, configuração externa e resultado de teste são tratados separadamente. A referência completa e atualizável de rotas e campos permanece em docs/REFERENCIA_API.md e docs/MODELO_DADOS.md, evitando repetir inventários extensos no texto acadêmico.</w:t>
      </w:r>
    </w:p>
    <w:p>
      <w:bookmarkStart w:id="3" w:name="sec3"/>
      <w:pPr>
        <w:pStyle w:val="Heading2"/>
      </w:pPr>
      <w:r>
        <w:t>1.2 Objetivos</w:t>
      </w:r>
      <w:bookmarkEnd w:id="3"/>
    </w:p>
    <w:p>
      <w:pPr>
        <w:jc w:val="both"/>
      </w:pPr>
      <w:r>
        <w:t>Integrar informações do negócio; registrar o consumo de materiais por atendimento; permitir escolha de módulos; aplicar permissões e isolamento; oferecer interface compreensível e manutenção verificável.</w:t>
      </w:r>
    </w:p>
    <w:p>
      <w:bookmarkStart w:id="4" w:name="sec4"/>
      <w:pPr>
        <w:pStyle w:val="Heading1"/>
      </w:pPr>
      <w:r>
        <w:t>2 PRODUTO E FUNCIONALIDADES</w:t>
      </w:r>
      <w:bookmarkEnd w:id="4"/>
    </w:p>
    <w:p>
      <w:pPr>
        <w:jc w:val="both"/>
      </w:pPr>
      <w:r>
        <w:t>O Nexly reúne agenda, atendimento, estoque e vendas para pequenos negócios. Uma empresa configura seus serviços, profissionais e materiais; ao concluir um atendimento, o sistema registra o consumo dos insumos vinculados. Assim, quem atende não precisa lançar novamente cada material utilizado.</w:t>
      </w:r>
    </w:p>
    <w:p>
      <w:pPr>
        <w:jc w:val="both"/>
      </w:pPr>
      <w:r>
        <w:t>O produto atende segmentos como salões, barbearias, clínicas, petshops e estúdios. Os presets são configurações iniciais de módulos e linguagem, ajustáveis em Meu Nexly. Escolher um preset não transforma o produto em prontuário médico nem habilita automaticamente integrações externas.</w:t>
      </w:r>
    </w:p>
    <w:p>
      <w:bookmarkStart w:id="5" w:name="sec5"/>
      <w:pPr>
        <w:pStyle w:val="Heading2"/>
      </w:pPr>
      <w:r>
        <w:t>2.1 Cadastro e primeiro acesso</w:t>
      </w:r>
      <w:bookmarkEnd w:id="5"/>
    </w:p>
    <w:p>
      <w:pPr>
        <w:jc w:val="both"/>
      </w:pPr>
      <w:r>
        <w:t>O cadastro distribui as informações em cinco etapas, incluindo dados da conta e do negócio, escolha de recursos e aceite das condições. As dependências dos módulos são consideradas: a agenda, por exemplo, utiliza clientes, profissionais e serviços. A preferência de plano acompanha a navegação; uma escolha na interface não confirma pagamento nem concede plano pago.</w:t>
      </w:r>
    </w:p>
    <w:p>
      <w:pPr>
        <w:jc w:val="both"/>
      </w:pPr>
      <w:r>
        <w:t>Depois do acesso, o painel oferece indicadores, agenda do dia e pendências. Atalhos e primeiros passos ficam em uma seção expansível, para preservar espaço. Meu Nexly permite rever a configuração inicial e conhecer os recursos escolhidos.</w:t>
      </w:r>
    </w:p>
    <w:p>
      <w:bookmarkStart w:id="6" w:name="sec6"/>
      <w:pPr>
        <w:pStyle w:val="Heading2"/>
      </w:pPr>
      <w:r>
        <w:t>2.2 Funcionalidades</w:t>
      </w:r>
      <w:bookmarkEnd w:id="6"/>
    </w:p>
    <w:p>
      <w:pPr>
        <w:keepNext/>
        <w:spacing w:line="240" w:lineRule="auto" w:before="120" w:after="120"/>
        <w:ind w:firstLine="0"/>
        <w:jc w:val="center"/>
      </w:pPr>
      <w:r>
        <w:rPr>
          <w:sz w:val="20"/>
        </w:rPr>
        <w:t>Quadro 1 – Funcionalidades do sistema</w:t>
      </w:r>
    </w:p>
    <w:tbl>
      <w:tblPr>
        <w:tblStyle w:val="TableGrid"/>
        <w:tblW w:type="auto" w:w="0"/>
        <w:tblLayout w:type="fixed"/>
        <w:tblLook w:firstColumn="1" w:firstRow="1" w:lastColumn="0" w:lastRow="0" w:noHBand="0" w:noVBand="1" w:val="04A0"/>
      </w:tblPr>
      <w:tblGrid>
        <w:gridCol w:w="2540"/>
        <w:gridCol w:w="6531"/>
      </w:tblGrid>
      <w:tr>
        <w:trPr>
          <w:tblHeader/>
          <w:cantSplit/>
        </w:trPr>
        <w:tc>
          <w:tcPr>
            <w:tcW w:type="dxa" w:w="2540"/>
          </w:tcPr>
          <w:p>
            <w:pPr>
              <w:spacing w:line="240" w:lineRule="auto" w:after="100" w:before="100"/>
              <w:ind w:firstLine="0"/>
            </w:pPr>
            <w:r>
              <w:rPr>
                <w:b/>
                <w:sz w:val="20"/>
              </w:rPr>
              <w:t>Área</w:t>
            </w:r>
          </w:p>
        </w:tc>
        <w:tc>
          <w:tcPr>
            <w:tcW w:type="dxa" w:w="6531"/>
          </w:tcPr>
          <w:p>
            <w:pPr>
              <w:spacing w:line="240" w:lineRule="auto" w:after="100" w:before="100"/>
              <w:ind w:firstLine="0"/>
            </w:pPr>
            <w:r>
              <w:rPr>
                <w:b/>
                <w:sz w:val="20"/>
              </w:rPr>
              <w:t>O que a pessoa pode fazer</w:t>
            </w:r>
          </w:p>
        </w:tc>
      </w:tr>
      <w:tr>
        <w:trPr>
          <w:cantSplit/>
        </w:trPr>
        <w:tc>
          <w:tcPr>
            <w:tcW w:type="dxa" w:w="2540"/>
          </w:tcPr>
          <w:p>
            <w:pPr>
              <w:spacing w:line="240" w:lineRule="auto" w:after="100" w:before="100"/>
              <w:ind w:firstLine="0"/>
            </w:pPr>
            <w:r>
              <w:rPr>
                <w:b w:val="0"/>
                <w:sz w:val="20"/>
              </w:rPr>
              <w:t>Agenda</w:t>
            </w:r>
          </w:p>
        </w:tc>
        <w:tc>
          <w:tcPr>
            <w:tcW w:type="dxa" w:w="6531"/>
          </w:tcPr>
          <w:p>
            <w:pPr>
              <w:spacing w:line="240" w:lineRule="auto" w:after="100" w:before="100"/>
              <w:ind w:firstLine="0"/>
            </w:pPr>
            <w:r>
              <w:rPr>
                <w:b w:val="0"/>
                <w:sz w:val="20"/>
              </w:rPr>
              <w:t>Marcar, confirmar, concluir e cancelar atendimentos; consultar profissionais e conflitos de horário.</w:t>
            </w:r>
          </w:p>
        </w:tc>
      </w:tr>
      <w:tr>
        <w:trPr>
          <w:cantSplit/>
        </w:trPr>
        <w:tc>
          <w:tcPr>
            <w:tcW w:type="dxa" w:w="2540"/>
          </w:tcPr>
          <w:p>
            <w:pPr>
              <w:spacing w:line="240" w:lineRule="auto" w:after="100" w:before="100"/>
              <w:ind w:firstLine="0"/>
            </w:pPr>
            <w:r>
              <w:rPr>
                <w:b w:val="0"/>
                <w:sz w:val="20"/>
              </w:rPr>
              <w:t>Clientes</w:t>
            </w:r>
          </w:p>
        </w:tc>
        <w:tc>
          <w:tcPr>
            <w:tcW w:type="dxa" w:w="6531"/>
          </w:tcPr>
          <w:p>
            <w:pPr>
              <w:spacing w:line="240" w:lineRule="auto" w:after="100" w:before="100"/>
              <w:ind w:firstLine="0"/>
            </w:pPr>
            <w:r>
              <w:rPr>
                <w:b w:val="0"/>
                <w:sz w:val="20"/>
              </w:rPr>
              <w:t>Organizar contatos, histórico e observações; adaptar a nomenclatura ao segmento.</w:t>
            </w:r>
          </w:p>
        </w:tc>
      </w:tr>
      <w:tr>
        <w:trPr>
          <w:cantSplit/>
        </w:trPr>
        <w:tc>
          <w:tcPr>
            <w:tcW w:type="dxa" w:w="2540"/>
          </w:tcPr>
          <w:p>
            <w:pPr>
              <w:spacing w:line="240" w:lineRule="auto" w:after="100" w:before="100"/>
              <w:ind w:firstLine="0"/>
            </w:pPr>
            <w:r>
              <w:rPr>
                <w:b w:val="0"/>
                <w:sz w:val="20"/>
              </w:rPr>
              <w:t>Profissionais</w:t>
            </w:r>
          </w:p>
        </w:tc>
        <w:tc>
          <w:tcPr>
            <w:tcW w:type="dxa" w:w="6531"/>
          </w:tcPr>
          <w:p>
            <w:pPr>
              <w:spacing w:line="240" w:lineRule="auto" w:after="100" w:before="100"/>
              <w:ind w:firstLine="0"/>
            </w:pPr>
            <w:r>
              <w:rPr>
                <w:b w:val="0"/>
                <w:sz w:val="20"/>
              </w:rPr>
              <w:t>Cadastrar equipe e especialidades, respeitando o limite de profissionais ativos do plano.</w:t>
            </w:r>
          </w:p>
        </w:tc>
      </w:tr>
      <w:tr>
        <w:trPr>
          <w:cantSplit/>
        </w:trPr>
        <w:tc>
          <w:tcPr>
            <w:tcW w:type="dxa" w:w="2540"/>
          </w:tcPr>
          <w:p>
            <w:pPr>
              <w:spacing w:line="240" w:lineRule="auto" w:after="100" w:before="100"/>
              <w:ind w:firstLine="0"/>
            </w:pPr>
            <w:r>
              <w:rPr>
                <w:b w:val="0"/>
                <w:sz w:val="20"/>
              </w:rPr>
              <w:t>Serviços</w:t>
            </w:r>
          </w:p>
        </w:tc>
        <w:tc>
          <w:tcPr>
            <w:tcW w:type="dxa" w:w="6531"/>
          </w:tcPr>
          <w:p>
            <w:pPr>
              <w:spacing w:line="240" w:lineRule="auto" w:after="100" w:before="100"/>
              <w:ind w:firstLine="0"/>
            </w:pPr>
            <w:r>
              <w:rPr>
                <w:b w:val="0"/>
                <w:sz w:val="20"/>
              </w:rPr>
              <w:t>Definir preço, duração e insumos consumidos em cada atendimento.</w:t>
            </w:r>
          </w:p>
        </w:tc>
      </w:tr>
      <w:tr>
        <w:trPr>
          <w:cantSplit/>
        </w:trPr>
        <w:tc>
          <w:tcPr>
            <w:tcW w:type="dxa" w:w="2540"/>
          </w:tcPr>
          <w:p>
            <w:pPr>
              <w:spacing w:line="240" w:lineRule="auto" w:after="100" w:before="100"/>
              <w:ind w:firstLine="0"/>
            </w:pPr>
            <w:r>
              <w:rPr>
                <w:b w:val="0"/>
                <w:sz w:val="20"/>
              </w:rPr>
              <w:t>Estoque</w:t>
            </w:r>
          </w:p>
        </w:tc>
        <w:tc>
          <w:tcPr>
            <w:tcW w:type="dxa" w:w="6531"/>
          </w:tcPr>
          <w:p>
            <w:pPr>
              <w:spacing w:line="240" w:lineRule="auto" w:after="100" w:before="100"/>
              <w:ind w:firstLine="0"/>
            </w:pPr>
            <w:r>
              <w:rPr>
                <w:b w:val="0"/>
                <w:sz w:val="20"/>
              </w:rPr>
              <w:t>Consultar produtos, registrar movimentos e acompanhar reposição e validade.</w:t>
            </w:r>
          </w:p>
        </w:tc>
      </w:tr>
      <w:tr>
        <w:trPr>
          <w:cantSplit/>
        </w:trPr>
        <w:tc>
          <w:tcPr>
            <w:tcW w:type="dxa" w:w="2540"/>
          </w:tcPr>
          <w:p>
            <w:pPr>
              <w:spacing w:line="240" w:lineRule="auto" w:after="100" w:before="100"/>
              <w:ind w:firstLine="0"/>
            </w:pPr>
            <w:r>
              <w:rPr>
                <w:b w:val="0"/>
                <w:sz w:val="20"/>
              </w:rPr>
              <w:t>PDV e vendas</w:t>
            </w:r>
          </w:p>
        </w:tc>
        <w:tc>
          <w:tcPr>
            <w:tcW w:type="dxa" w:w="6531"/>
          </w:tcPr>
          <w:p>
            <w:pPr>
              <w:spacing w:line="240" w:lineRule="auto" w:after="100" w:before="100"/>
              <w:ind w:firstLine="0"/>
            </w:pPr>
            <w:r>
              <w:rPr>
                <w:b w:val="0"/>
                <w:sz w:val="20"/>
              </w:rPr>
              <w:t>Montar carrinho, registrar venda e formas de pagamento, consultar itens e histórico.</w:t>
            </w:r>
          </w:p>
        </w:tc>
      </w:tr>
      <w:tr>
        <w:trPr>
          <w:cantSplit/>
        </w:trPr>
        <w:tc>
          <w:tcPr>
            <w:tcW w:type="dxa" w:w="2540"/>
          </w:tcPr>
          <w:p>
            <w:pPr>
              <w:spacing w:line="240" w:lineRule="auto" w:after="100" w:before="100"/>
              <w:ind w:firstLine="0"/>
            </w:pPr>
            <w:r>
              <w:rPr>
                <w:b w:val="0"/>
                <w:sz w:val="20"/>
              </w:rPr>
              <w:t>Financeiro</w:t>
            </w:r>
          </w:p>
        </w:tc>
        <w:tc>
          <w:tcPr>
            <w:tcW w:type="dxa" w:w="6531"/>
          </w:tcPr>
          <w:p>
            <w:pPr>
              <w:spacing w:line="240" w:lineRule="auto" w:after="100" w:before="100"/>
              <w:ind w:firstLine="0"/>
            </w:pPr>
            <w:r>
              <w:rPr>
                <w:b w:val="0"/>
                <w:sz w:val="20"/>
              </w:rPr>
              <w:t>Acompanhar receitas, despesas, vencimentos e recebimentos com filtros por período.</w:t>
            </w:r>
          </w:p>
        </w:tc>
      </w:tr>
      <w:tr>
        <w:trPr>
          <w:cantSplit/>
        </w:trPr>
        <w:tc>
          <w:tcPr>
            <w:tcW w:type="dxa" w:w="2540"/>
          </w:tcPr>
          <w:p>
            <w:pPr>
              <w:spacing w:line="240" w:lineRule="auto" w:after="100" w:before="100"/>
              <w:ind w:firstLine="0"/>
            </w:pPr>
            <w:r>
              <w:rPr>
                <w:b w:val="0"/>
                <w:sz w:val="20"/>
              </w:rPr>
              <w:t>Relatórios</w:t>
            </w:r>
          </w:p>
        </w:tc>
        <w:tc>
          <w:tcPr>
            <w:tcW w:type="dxa" w:w="6531"/>
          </w:tcPr>
          <w:p>
            <w:pPr>
              <w:spacing w:line="240" w:lineRule="auto" w:after="100" w:before="100"/>
              <w:ind w:firstLine="0"/>
            </w:pPr>
            <w:r>
              <w:rPr>
                <w:b w:val="0"/>
                <w:sz w:val="20"/>
              </w:rPr>
              <w:t>Consultar indicadores de vendas, atendimentos e consumo de materiais conforme permissão.</w:t>
            </w:r>
          </w:p>
        </w:tc>
      </w:tr>
      <w:tr>
        <w:trPr>
          <w:cantSplit/>
        </w:trPr>
        <w:tc>
          <w:tcPr>
            <w:tcW w:type="dxa" w:w="2540"/>
          </w:tcPr>
          <w:p>
            <w:pPr>
              <w:spacing w:line="240" w:lineRule="auto" w:after="100" w:before="100"/>
              <w:ind w:firstLine="0"/>
            </w:pPr>
            <w:r>
              <w:rPr>
                <w:b w:val="0"/>
                <w:sz w:val="20"/>
              </w:rPr>
              <w:t>Comissões</w:t>
            </w:r>
          </w:p>
        </w:tc>
        <w:tc>
          <w:tcPr>
            <w:tcW w:type="dxa" w:w="6531"/>
          </w:tcPr>
          <w:p>
            <w:pPr>
              <w:spacing w:line="240" w:lineRule="auto" w:after="100" w:before="100"/>
              <w:ind w:firstLine="0"/>
            </w:pPr>
            <w:r>
              <w:rPr>
                <w:b w:val="0"/>
                <w:sz w:val="20"/>
              </w:rPr>
              <w:t>Acompanhar comissões e seu histórico, sem confundir comissão calculada com repasse bancário.</w:t>
            </w:r>
          </w:p>
        </w:tc>
      </w:tr>
      <w:tr>
        <w:trPr>
          <w:cantSplit/>
        </w:trPr>
        <w:tc>
          <w:tcPr>
            <w:tcW w:type="dxa" w:w="2540"/>
          </w:tcPr>
          <w:p>
            <w:pPr>
              <w:spacing w:line="240" w:lineRule="auto" w:after="100" w:before="100"/>
              <w:ind w:firstLine="0"/>
            </w:pPr>
            <w:r>
              <w:rPr>
                <w:b w:val="0"/>
                <w:sz w:val="20"/>
              </w:rPr>
              <w:t>Fidelidade</w:t>
            </w:r>
          </w:p>
        </w:tc>
        <w:tc>
          <w:tcPr>
            <w:tcW w:type="dxa" w:w="6531"/>
          </w:tcPr>
          <w:p>
            <w:pPr>
              <w:spacing w:line="240" w:lineRule="auto" w:after="100" w:before="100"/>
              <w:ind w:firstLine="0"/>
            </w:pPr>
            <w:r>
              <w:rPr>
                <w:b w:val="0"/>
                <w:sz w:val="20"/>
              </w:rPr>
              <w:t>Organizar pontos e relacionamento com clientes.</w:t>
            </w:r>
          </w:p>
        </w:tc>
      </w:tr>
      <w:tr>
        <w:trPr>
          <w:cantSplit/>
        </w:trPr>
        <w:tc>
          <w:tcPr>
            <w:tcW w:type="dxa" w:w="2540"/>
          </w:tcPr>
          <w:p>
            <w:pPr>
              <w:spacing w:line="240" w:lineRule="auto" w:after="100" w:before="100"/>
              <w:ind w:firstLine="0"/>
            </w:pPr>
            <w:r>
              <w:rPr>
                <w:b w:val="0"/>
                <w:sz w:val="20"/>
              </w:rPr>
              <w:t>Marketing</w:t>
            </w:r>
          </w:p>
        </w:tc>
        <w:tc>
          <w:tcPr>
            <w:tcW w:type="dxa" w:w="6531"/>
          </w:tcPr>
          <w:p>
            <w:pPr>
              <w:spacing w:line="240" w:lineRule="auto" w:after="100" w:before="100"/>
              <w:ind w:firstLine="0"/>
            </w:pPr>
            <w:r>
              <w:rPr>
                <w:b w:val="0"/>
                <w:sz w:val="20"/>
              </w:rPr>
              <w:t>Preparar campanhas e contatos autorizados para abordagem manual pelo WhatsApp.</w:t>
            </w:r>
          </w:p>
        </w:tc>
      </w:tr>
      <w:tr>
        <w:trPr>
          <w:cantSplit/>
        </w:trPr>
        <w:tc>
          <w:tcPr>
            <w:tcW w:type="dxa" w:w="2540"/>
          </w:tcPr>
          <w:p>
            <w:pPr>
              <w:spacing w:line="240" w:lineRule="auto" w:after="100" w:before="100"/>
              <w:ind w:firstLine="0"/>
            </w:pPr>
            <w:r>
              <w:rPr>
                <w:b w:val="0"/>
                <w:sz w:val="20"/>
              </w:rPr>
              <w:t>Tarefas</w:t>
            </w:r>
          </w:p>
        </w:tc>
        <w:tc>
          <w:tcPr>
            <w:tcW w:type="dxa" w:w="6531"/>
          </w:tcPr>
          <w:p>
            <w:pPr>
              <w:spacing w:line="240" w:lineRule="auto" w:after="100" w:before="100"/>
              <w:ind w:firstLine="0"/>
            </w:pPr>
            <w:r>
              <w:rPr>
                <w:b w:val="0"/>
                <w:sz w:val="20"/>
              </w:rPr>
              <w:t>Distribuir atividades com responsável, prazo, prioridade e unidade.</w:t>
            </w:r>
          </w:p>
        </w:tc>
      </w:tr>
      <w:tr>
        <w:trPr>
          <w:cantSplit/>
        </w:trPr>
        <w:tc>
          <w:tcPr>
            <w:tcW w:type="dxa" w:w="2540"/>
          </w:tcPr>
          <w:p>
            <w:pPr>
              <w:spacing w:line="240" w:lineRule="auto" w:after="100" w:before="100"/>
              <w:ind w:firstLine="0"/>
            </w:pPr>
            <w:r>
              <w:rPr>
                <w:b w:val="0"/>
                <w:sz w:val="20"/>
              </w:rPr>
              <w:t>Filiais</w:t>
            </w:r>
          </w:p>
        </w:tc>
        <w:tc>
          <w:tcPr>
            <w:tcW w:type="dxa" w:w="6531"/>
          </w:tcPr>
          <w:p>
            <w:pPr>
              <w:spacing w:line="240" w:lineRule="auto" w:after="100" w:before="100"/>
              <w:ind w:firstLine="0"/>
            </w:pPr>
            <w:r>
              <w:rPr>
                <w:b w:val="0"/>
                <w:sz w:val="20"/>
              </w:rPr>
              <w:t>Organizar unidades do negócio e filtros relacionados.</w:t>
            </w:r>
          </w:p>
        </w:tc>
      </w:tr>
      <w:tr>
        <w:trPr>
          <w:cantSplit/>
        </w:trPr>
        <w:tc>
          <w:tcPr>
            <w:tcW w:type="dxa" w:w="2540"/>
          </w:tcPr>
          <w:p>
            <w:pPr>
              <w:spacing w:line="240" w:lineRule="auto" w:after="100" w:before="100"/>
              <w:ind w:firstLine="0"/>
            </w:pPr>
            <w:r>
              <w:rPr>
                <w:b w:val="0"/>
                <w:sz w:val="20"/>
              </w:rPr>
              <w:t>Documentos</w:t>
            </w:r>
          </w:p>
        </w:tc>
        <w:tc>
          <w:tcPr>
            <w:tcW w:type="dxa" w:w="6531"/>
          </w:tcPr>
          <w:p>
            <w:pPr>
              <w:spacing w:line="240" w:lineRule="auto" w:after="100" w:before="100"/>
              <w:ind w:firstLine="0"/>
            </w:pPr>
            <w:r>
              <w:rPr>
                <w:b w:val="0"/>
                <w:sz w:val="20"/>
              </w:rPr>
              <w:t>Preparar e consultar documentos operacionais, com impressão quando disponível.</w:t>
            </w:r>
          </w:p>
        </w:tc>
      </w:tr>
      <w:tr>
        <w:trPr>
          <w:cantSplit/>
        </w:trPr>
        <w:tc>
          <w:tcPr>
            <w:tcW w:type="dxa" w:w="2540"/>
          </w:tcPr>
          <w:p>
            <w:pPr>
              <w:spacing w:line="240" w:lineRule="auto" w:after="100" w:before="100"/>
              <w:ind w:firstLine="0"/>
            </w:pPr>
            <w:r>
              <w:rPr>
                <w:b w:val="0"/>
                <w:sz w:val="20"/>
              </w:rPr>
              <w:t>Recorrências</w:t>
            </w:r>
          </w:p>
        </w:tc>
        <w:tc>
          <w:tcPr>
            <w:tcW w:type="dxa" w:w="6531"/>
          </w:tcPr>
          <w:p>
            <w:pPr>
              <w:spacing w:line="240" w:lineRule="auto" w:after="100" w:before="100"/>
              <w:ind w:firstLine="0"/>
            </w:pPr>
            <w:r>
              <w:rPr>
                <w:b w:val="0"/>
                <w:sz w:val="20"/>
              </w:rPr>
              <w:t>Organizar registros recorrentes e sua execução.</w:t>
            </w:r>
          </w:p>
        </w:tc>
      </w:tr>
      <w:tr>
        <w:trPr>
          <w:cantSplit/>
        </w:trPr>
        <w:tc>
          <w:tcPr>
            <w:tcW w:type="dxa" w:w="2540"/>
          </w:tcPr>
          <w:p>
            <w:pPr>
              <w:spacing w:line="240" w:lineRule="auto" w:after="100" w:before="100"/>
              <w:ind w:firstLine="0"/>
            </w:pPr>
            <w:r>
              <w:rPr>
                <w:b w:val="0"/>
                <w:sz w:val="20"/>
              </w:rPr>
              <w:t>Automações</w:t>
            </w:r>
          </w:p>
        </w:tc>
        <w:tc>
          <w:tcPr>
            <w:tcW w:type="dxa" w:w="6531"/>
          </w:tcPr>
          <w:p>
            <w:pPr>
              <w:spacing w:line="240" w:lineRule="auto" w:after="100" w:before="100"/>
              <w:ind w:firstLine="0"/>
            </w:pPr>
            <w:r>
              <w:rPr>
                <w:b w:val="0"/>
                <w:sz w:val="20"/>
              </w:rPr>
              <w:t>Configurar regras disponíveis e acompanhar seu processamento.</w:t>
            </w:r>
          </w:p>
        </w:tc>
      </w:tr>
      <w:tr>
        <w:trPr>
          <w:cantSplit/>
        </w:trPr>
        <w:tc>
          <w:tcPr>
            <w:tcW w:type="dxa" w:w="2540"/>
          </w:tcPr>
          <w:p>
            <w:pPr>
              <w:spacing w:line="240" w:lineRule="auto" w:after="100" w:before="100"/>
              <w:ind w:firstLine="0"/>
            </w:pPr>
            <w:r>
              <w:rPr>
                <w:b w:val="0"/>
                <w:sz w:val="20"/>
              </w:rPr>
              <w:t>Agendamento online</w:t>
            </w:r>
          </w:p>
        </w:tc>
        <w:tc>
          <w:tcPr>
            <w:tcW w:type="dxa" w:w="6531"/>
          </w:tcPr>
          <w:p>
            <w:pPr>
              <w:spacing w:line="240" w:lineRule="auto" w:after="100" w:before="100"/>
              <w:ind w:firstLine="0"/>
            </w:pPr>
            <w:r>
              <w:rPr>
                <w:b w:val="0"/>
                <w:sz w:val="20"/>
              </w:rPr>
              <w:t>Disponibilizar horários públicos, validar disponibilidade e lidar com conflitos.</w:t>
            </w:r>
          </w:p>
        </w:tc>
      </w:tr>
      <w:tr>
        <w:trPr>
          <w:cantSplit/>
        </w:trPr>
        <w:tc>
          <w:tcPr>
            <w:tcW w:type="dxa" w:w="2540"/>
          </w:tcPr>
          <w:p>
            <w:pPr>
              <w:keepNext/>
              <w:spacing w:line="240" w:lineRule="auto" w:after="100" w:before="100"/>
              <w:ind w:firstLine="0"/>
            </w:pPr>
            <w:r>
              <w:rPr>
                <w:b w:val="0"/>
                <w:sz w:val="20"/>
              </w:rPr>
              <w:t>Equipe e conta</w:t>
            </w:r>
          </w:p>
        </w:tc>
        <w:tc>
          <w:tcPr>
            <w:tcW w:type="dxa" w:w="6531"/>
          </w:tcPr>
          <w:p>
            <w:pPr>
              <w:keepNext/>
              <w:spacing w:line="240" w:lineRule="auto" w:after="100" w:before="100"/>
              <w:ind w:firstLine="0"/>
            </w:pPr>
            <w:r>
              <w:rPr>
                <w:b w:val="0"/>
                <w:sz w:val="20"/>
              </w:rPr>
              <w:t>Administrar acessos, convites, permissões, sessões e autenticação em duas etapas.</w:t>
            </w:r>
          </w:p>
        </w:tc>
      </w:tr>
    </w:tbl>
    <w:p>
      <w:pPr>
        <w:spacing w:line="240" w:lineRule="auto"/>
        <w:ind w:firstLine="0"/>
        <w:jc w:val="center"/>
      </w:pPr>
      <w:r>
        <w:rPr>
          <w:sz w:val="20"/>
        </w:rPr>
        <w:t>Fonte: elaboração dos autores com base no código do Nexly (2026).</w:t>
      </w:r>
    </w:p>
    <w:p>
      <w:pPr>
        <w:jc w:val="both"/>
      </w:pPr>
      <w:r>
        <w:t>O catálogo compartilhado está em workspace.ts. Disponibilidade de um módulo, permissão do usuário e estado da integração são verificações distintas; esconder um item no menu não substitui autorização na API.</w:t>
      </w:r>
    </w:p>
    <w:p>
      <w:bookmarkStart w:id="7" w:name="sec7"/>
      <w:pPr>
        <w:pStyle w:val="Heading2"/>
      </w:pPr>
      <w:r>
        <w:t>2.3 Atendimento conectado ao estoque</w:t>
      </w:r>
      <w:bookmarkEnd w:id="7"/>
    </w:p>
    <w:p>
      <w:pPr>
        <w:pStyle w:val="ListNumber"/>
        <w:ind w:firstLine="0"/>
        <w:jc w:val="both"/>
      </w:pPr>
      <w:r>
        <w:t>Cadastre o produto e seu estoque.</w:t>
      </w:r>
    </w:p>
    <w:p>
      <w:pPr>
        <w:pStyle w:val="ListNumber"/>
        <w:ind w:firstLine="0"/>
        <w:jc w:val="both"/>
      </w:pPr>
      <w:r>
        <w:t>Vincule ao serviço a quantidade consumida por atendimento.</w:t>
      </w:r>
    </w:p>
    <w:p>
      <w:pPr>
        <w:pStyle w:val="ListNumber"/>
        <w:ind w:firstLine="0"/>
        <w:jc w:val="both"/>
      </w:pPr>
      <w:r>
        <w:t>Agende o serviço para um profissional disponível.</w:t>
      </w:r>
    </w:p>
    <w:p>
      <w:pPr>
        <w:pStyle w:val="ListNumber"/>
        <w:ind w:firstLine="0"/>
        <w:jc w:val="both"/>
      </w:pPr>
      <w:r>
        <w:t>Conclua o atendimento.</w:t>
      </w:r>
    </w:p>
    <w:p>
      <w:pPr>
        <w:pStyle w:val="ListNumber"/>
        <w:ind w:firstLine="0"/>
        <w:jc w:val="both"/>
      </w:pPr>
      <w:r>
        <w:t>Consulte o movimento registrado e o histórico da operação.</w:t>
      </w:r>
    </w:p>
    <w:p>
      <w:pPr>
        <w:jc w:val="both"/>
      </w:pPr>
      <w:r>
        <w:t>As regras de concorrência e transação devem preservar consistência quando duas operações usam o mesmo produto. Uma tentativa recusada precisa devolver erro compreensível, sem confirmar uma baixa que não aconteceu.</w:t>
      </w:r>
    </w:p>
    <w:p>
      <w:bookmarkStart w:id="8" w:name="sec8"/>
      <w:pPr>
        <w:pStyle w:val="Heading2"/>
      </w:pPr>
      <w:r>
        <w:t>2.4 Alertas do painel</w:t>
      </w:r>
      <w:bookmarkEnd w:id="8"/>
    </w:p>
    <w:p>
      <w:pPr>
        <w:jc w:val="both"/>
      </w:pPr>
      <w:r>
        <w:t>O painel reúne produtos com estoque baixo, contas a pagar ou receber atrasadas, contas dos próximos sete dias e atendimentos de hoje aguardando confirmação. Contas abertas e parcialmente pagas entram na consulta; pagas e canceladas ficam fora. O fuso da empresa define o dia de referência. Links financeiros abrem o período correspondente; o estoque leva aos detalhes do próprio painel.</w:t>
      </w:r>
    </w:p>
    <w:p>
      <w:pPr>
        <w:jc w:val="both"/>
      </w:pPr>
      <w:r>
        <w:t>Os alertas financeiros dependem de permissão e módulo habilitado. Uma consulta com falha oferece atualização manual e não deve impedir a leitura do restante do painel. Sem conexão com a nova versão da API, a interface informa a indisponibilidade em vez de inventar pendências.</w:t>
      </w:r>
    </w:p>
    <w:p>
      <w:bookmarkStart w:id="9" w:name="sec9"/>
      <w:pPr>
        <w:pStyle w:val="Heading2"/>
      </w:pPr>
      <w:r>
        <w:t>2.5 Planos do Nexly</w:t>
      </w:r>
      <w:bookmarkEnd w:id="9"/>
    </w:p>
    <w:p>
      <w:pPr>
        <w:keepNext/>
        <w:spacing w:line="240" w:lineRule="auto" w:before="120" w:after="120"/>
        <w:ind w:firstLine="0"/>
        <w:jc w:val="center"/>
      </w:pPr>
      <w:r>
        <w:rPr>
          <w:sz w:val="20"/>
        </w:rPr>
        <w:t>Quadro 2 – Planos e limites de profissionais</w:t>
      </w:r>
    </w:p>
    <w:tbl>
      <w:tblPr>
        <w:tblStyle w:val="TableGrid"/>
        <w:tblW w:type="auto" w:w="0"/>
        <w:tblLayout w:type="fixed"/>
        <w:tblLook w:firstColumn="1" w:firstRow="1" w:lastColumn="0" w:lastRow="0" w:noHBand="0" w:noVBand="1" w:val="04A0"/>
      </w:tblPr>
      <w:tblGrid>
        <w:gridCol w:w="1089"/>
        <w:gridCol w:w="2449"/>
        <w:gridCol w:w="5533"/>
      </w:tblGrid>
      <w:tr>
        <w:trPr>
          <w:tblHeader/>
          <w:cantSplit/>
        </w:trPr>
        <w:tc>
          <w:tcPr>
            <w:tcW w:type="dxa" w:w="1089"/>
          </w:tcPr>
          <w:p>
            <w:pPr>
              <w:spacing w:line="240" w:lineRule="auto" w:after="100" w:before="100"/>
              <w:ind w:firstLine="0"/>
            </w:pPr>
            <w:r>
              <w:rPr>
                <w:b/>
                <w:sz w:val="20"/>
              </w:rPr>
              <w:t>Plano</w:t>
            </w:r>
          </w:p>
        </w:tc>
        <w:tc>
          <w:tcPr>
            <w:tcW w:type="dxa" w:w="2449"/>
          </w:tcPr>
          <w:p>
            <w:pPr>
              <w:spacing w:line="240" w:lineRule="auto" w:after="100" w:before="100"/>
              <w:ind w:firstLine="0"/>
            </w:pPr>
            <w:r>
              <w:rPr>
                <w:b/>
                <w:sz w:val="20"/>
              </w:rPr>
              <w:t>Mensalidade anunciada</w:t>
            </w:r>
          </w:p>
        </w:tc>
        <w:tc>
          <w:tcPr>
            <w:tcW w:type="dxa" w:w="5533"/>
          </w:tcPr>
          <w:p>
            <w:pPr>
              <w:spacing w:line="240" w:lineRule="auto" w:after="100" w:before="100"/>
              <w:ind w:firstLine="0"/>
            </w:pPr>
            <w:r>
              <w:rPr>
                <w:b/>
                <w:sz w:val="20"/>
              </w:rPr>
              <w:t>Profissionais ativos</w:t>
            </w:r>
          </w:p>
        </w:tc>
      </w:tr>
      <w:tr>
        <w:trPr>
          <w:cantSplit/>
        </w:trPr>
        <w:tc>
          <w:tcPr>
            <w:tcW w:type="dxa" w:w="1089"/>
          </w:tcPr>
          <w:p>
            <w:pPr>
              <w:spacing w:line="240" w:lineRule="auto" w:after="100" w:before="100"/>
              <w:ind w:firstLine="0"/>
            </w:pPr>
            <w:r>
              <w:rPr>
                <w:b w:val="0"/>
                <w:sz w:val="20"/>
              </w:rPr>
              <w:t>Gratuito</w:t>
            </w:r>
          </w:p>
        </w:tc>
        <w:tc>
          <w:tcPr>
            <w:tcW w:type="dxa" w:w="2449"/>
          </w:tcPr>
          <w:p>
            <w:pPr>
              <w:spacing w:line="240" w:lineRule="auto" w:after="100" w:before="100"/>
              <w:ind w:firstLine="0"/>
            </w:pPr>
            <w:r>
              <w:rPr>
                <w:b w:val="0"/>
                <w:sz w:val="20"/>
              </w:rPr>
              <w:t>R$ 0</w:t>
            </w:r>
          </w:p>
        </w:tc>
        <w:tc>
          <w:tcPr>
            <w:tcW w:type="dxa" w:w="5533"/>
          </w:tcPr>
          <w:p>
            <w:pPr>
              <w:spacing w:line="240" w:lineRule="auto" w:after="100" w:before="100"/>
              <w:ind w:firstLine="0"/>
            </w:pPr>
            <w:r>
              <w:rPr>
                <w:b w:val="0"/>
                <w:sz w:val="20"/>
              </w:rPr>
              <w:t>1</w:t>
            </w:r>
          </w:p>
        </w:tc>
      </w:tr>
      <w:tr>
        <w:trPr>
          <w:cantSplit/>
        </w:trPr>
        <w:tc>
          <w:tcPr>
            <w:tcW w:type="dxa" w:w="1089"/>
          </w:tcPr>
          <w:p>
            <w:pPr>
              <w:spacing w:line="240" w:lineRule="auto" w:after="100" w:before="100"/>
              <w:ind w:firstLine="0"/>
            </w:pPr>
            <w:r>
              <w:rPr>
                <w:b w:val="0"/>
                <w:sz w:val="20"/>
              </w:rPr>
              <w:t>Essencial</w:t>
            </w:r>
          </w:p>
        </w:tc>
        <w:tc>
          <w:tcPr>
            <w:tcW w:type="dxa" w:w="2449"/>
          </w:tcPr>
          <w:p>
            <w:pPr>
              <w:spacing w:line="240" w:lineRule="auto" w:after="100" w:before="100"/>
              <w:ind w:firstLine="0"/>
            </w:pPr>
            <w:r>
              <w:rPr>
                <w:b w:val="0"/>
                <w:sz w:val="20"/>
              </w:rPr>
              <w:t>R$ 49</w:t>
            </w:r>
          </w:p>
        </w:tc>
        <w:tc>
          <w:tcPr>
            <w:tcW w:type="dxa" w:w="5533"/>
          </w:tcPr>
          <w:p>
            <w:pPr>
              <w:spacing w:line="240" w:lineRule="auto" w:after="100" w:before="100"/>
              <w:ind w:firstLine="0"/>
            </w:pPr>
            <w:r>
              <w:rPr>
                <w:b w:val="0"/>
                <w:sz w:val="20"/>
              </w:rPr>
              <w:t>2</w:t>
            </w:r>
          </w:p>
        </w:tc>
      </w:tr>
      <w:tr>
        <w:trPr>
          <w:cantSplit/>
        </w:trPr>
        <w:tc>
          <w:tcPr>
            <w:tcW w:type="dxa" w:w="1089"/>
          </w:tcPr>
          <w:p>
            <w:pPr>
              <w:spacing w:line="240" w:lineRule="auto" w:after="100" w:before="100"/>
              <w:ind w:firstLine="0"/>
            </w:pPr>
            <w:r>
              <w:rPr>
                <w:b w:val="0"/>
                <w:sz w:val="20"/>
              </w:rPr>
              <w:t>Profissional</w:t>
            </w:r>
          </w:p>
        </w:tc>
        <w:tc>
          <w:tcPr>
            <w:tcW w:type="dxa" w:w="2449"/>
          </w:tcPr>
          <w:p>
            <w:pPr>
              <w:spacing w:line="240" w:lineRule="auto" w:after="100" w:before="100"/>
              <w:ind w:firstLine="0"/>
            </w:pPr>
            <w:r>
              <w:rPr>
                <w:b w:val="0"/>
                <w:sz w:val="20"/>
              </w:rPr>
              <w:t>R$ 99</w:t>
            </w:r>
          </w:p>
        </w:tc>
        <w:tc>
          <w:tcPr>
            <w:tcW w:type="dxa" w:w="5533"/>
          </w:tcPr>
          <w:p>
            <w:pPr>
              <w:spacing w:line="240" w:lineRule="auto" w:after="100" w:before="100"/>
              <w:ind w:firstLine="0"/>
            </w:pPr>
            <w:r>
              <w:rPr>
                <w:b w:val="0"/>
                <w:sz w:val="20"/>
              </w:rPr>
              <w:t>10</w:t>
            </w:r>
          </w:p>
        </w:tc>
      </w:tr>
      <w:tr>
        <w:trPr>
          <w:cantSplit/>
        </w:trPr>
        <w:tc>
          <w:tcPr>
            <w:tcW w:type="dxa" w:w="1089"/>
          </w:tcPr>
          <w:p>
            <w:pPr>
              <w:keepNext/>
              <w:spacing w:line="240" w:lineRule="auto" w:after="100" w:before="100"/>
              <w:ind w:firstLine="0"/>
            </w:pPr>
            <w:r>
              <w:rPr>
                <w:b w:val="0"/>
                <w:sz w:val="20"/>
              </w:rPr>
              <w:t>Empresarial</w:t>
            </w:r>
          </w:p>
        </w:tc>
        <w:tc>
          <w:tcPr>
            <w:tcW w:type="dxa" w:w="2449"/>
          </w:tcPr>
          <w:p>
            <w:pPr>
              <w:keepNext/>
              <w:spacing w:line="240" w:lineRule="auto" w:after="100" w:before="100"/>
              <w:ind w:firstLine="0"/>
            </w:pPr>
            <w:r>
              <w:rPr>
                <w:b w:val="0"/>
                <w:sz w:val="20"/>
              </w:rPr>
              <w:t>R$ 199</w:t>
            </w:r>
          </w:p>
        </w:tc>
        <w:tc>
          <w:tcPr>
            <w:tcW w:type="dxa" w:w="5533"/>
          </w:tcPr>
          <w:p>
            <w:pPr>
              <w:keepNext/>
              <w:spacing w:line="240" w:lineRule="auto" w:after="100" w:before="100"/>
              <w:ind w:firstLine="0"/>
            </w:pPr>
            <w:r>
              <w:rPr>
                <w:b w:val="0"/>
                <w:sz w:val="20"/>
              </w:rPr>
              <w:t>Sem limite comercial de profissionais</w:t>
            </w:r>
          </w:p>
        </w:tc>
      </w:tr>
    </w:tbl>
    <w:p>
      <w:pPr>
        <w:spacing w:line="240" w:lineRule="auto"/>
        <w:ind w:firstLine="0"/>
        <w:jc w:val="center"/>
      </w:pPr>
      <w:r>
        <w:rPr>
          <w:sz w:val="20"/>
        </w:rPr>
        <w:t>Fonte: elaboração dos autores com base no código do Nexly (2026).</w:t>
      </w:r>
    </w:p>
    <w:p>
      <w:pPr>
        <w:jc w:val="both"/>
      </w:pPr>
      <w:r>
        <w:t>Os limites estão em plans.ts; o catálogo de cobrança está no backend. O Stripe cobra a assinatura do Nexly. O registro de uma venda no PDV não transfere automaticamente dinheiro entre o cliente e o negócio.</w:t>
      </w:r>
    </w:p>
    <w:p>
      <w:bookmarkStart w:id="10" w:name="sec10"/>
      <w:pPr>
        <w:pStyle w:val="Heading2"/>
      </w:pPr>
      <w:r>
        <w:t>2.6 Páginas públicas</w:t>
      </w:r>
      <w:bookmarkEnd w:id="10"/>
    </w:p>
    <w:p>
      <w:pPr>
        <w:jc w:val="both"/>
      </w:pPr>
      <w:r>
        <w:t>A landing apresenta a marca, capturas do produto com dados demonstrativos, segmentos, integração entre módulos e dez perguntas frequentes. Funcionalidades apresenta 19 explicações navegáveis; o blog organiza os artigos em destaque, pesquisa e categorias. Os carrosséis aceitam teclado e não alternam conteúdo automaticamente. Preços, login, cadastro, suporte, termos e privacidade compartilham a navegação pública.</w:t>
      </w:r>
    </w:p>
    <w:p>
      <w:pPr>
        <w:jc w:val="both"/>
      </w:pPr>
      <w:r>
        <w:t>Depoimentos públicos dependem de relato real e autorização de publicação. O sistema não deve apresentar pessoas ou resultados fictícios como recomendação. O canal de suporte autorizado é breno.emailsenai@gmail.com.</w:t>
      </w:r>
    </w:p>
    <w:p>
      <w:bookmarkStart w:id="11" w:name="sec11"/>
      <w:pPr>
        <w:pStyle w:val="Heading2"/>
      </w:pPr>
      <w:r>
        <w:t>2.7 Identidade visual e acessibilidade</w:t>
      </w:r>
      <w:bookmarkEnd w:id="11"/>
    </w:p>
    <w:p>
      <w:pPr>
        <w:jc w:val="both"/>
      </w:pPr>
      <w:r>
        <w:t>A marca usa a Inter, superfícies escuras e índigo nos destaques. A base é o protótipo do Nexly no Figma. A evolução preserva a identidade, com hierarquia mais clara, espaços entre controles, imagens de demonstração e animações compatíveis com preferência por movimento reduzido.</w:t>
      </w:r>
    </w:p>
    <w:p>
      <w:pPr>
        <w:jc w:val="both"/>
      </w:pPr>
      <w:r>
        <w:t>Labels associados aos campos, mensagens de erro, foco, navegação por teclado, modais e ausência de overflow integram a revisão. Essas medidas não equivalem a certificação formal de acessibilidade.</w:t>
      </w:r>
    </w:p>
    <w:p>
      <w:bookmarkStart w:id="12" w:name="sec12"/>
      <w:pPr>
        <w:pStyle w:val="Heading1"/>
      </w:pPr>
      <w:r>
        <w:t>3 ARQUITETURA E TECNOLOGIAS</w:t>
      </w:r>
      <w:bookmarkEnd w:id="12"/>
    </w:p>
    <w:p>
      <w:bookmarkStart w:id="13" w:name="sec13"/>
      <w:pPr>
        <w:pStyle w:val="Heading2"/>
      </w:pPr>
      <w:r>
        <w:t>3.1 Visão geral</w:t>
      </w:r>
      <w:bookmarkEnd w:id="13"/>
    </w:p>
    <w:p>
      <w:pPr>
        <w:jc w:val="both"/>
      </w:pPr>
      <w:r>
        <w:t>O navegador exibe a aplicação Next.js e envia requisições HTTP à API NestJS. A API valida identidade, permissão e empresa, aplica as regras do negócio e acessa PostgreSQL e Redis. As empresas compartilham a aplicação, enquanto cada operação de negócio utiliza o contexto da empresa autenticada.</w:t>
      </w:r>
    </w:p>
    <w:p>
      <w:pPr>
        <w:jc w:val="both"/>
      </w:pPr>
      <w:r>
        <w:t>Em produção, o frontend foi configurado na Vercel, a API no Railway e o PostgreSQL no Supabase. Redis atende dados temporários e coordenação; ele não substitui o banco relacional. Saúde e revisão publicada precisam ser verificadas em cada deploy.</w:t>
      </w:r>
    </w:p>
    <w:p>
      <w:bookmarkStart w:id="14" w:name="sec14"/>
      <w:pPr>
        <w:pStyle w:val="Heading2"/>
      </w:pPr>
      <w:r>
        <w:t>3.2 Como entender a stack</w:t>
      </w:r>
      <w:bookmarkEnd w:id="14"/>
    </w:p>
    <w:p>
      <w:pPr>
        <w:jc w:val="both"/>
      </w:pPr>
      <w:r>
        <w:t>Uma linguagem expressa as instruções do programa. Uma biblioteca oferece funções reutilizáveis. Um framework organiza a aplicação e estabelece um modo de construir suas partes. O runtime executa o programa; o banco armazena seus registros.</w:t>
      </w:r>
    </w:p>
    <w:p>
      <w:pPr>
        <w:keepNext/>
        <w:spacing w:line="240" w:lineRule="auto" w:before="120" w:after="120"/>
        <w:ind w:firstLine="0"/>
        <w:jc w:val="center"/>
      </w:pPr>
      <w:r>
        <w:rPr>
          <w:sz w:val="20"/>
        </w:rPr>
        <w:t>Quadro 3 – Tecnologias e suas finalidades</w:t>
      </w:r>
    </w:p>
    <w:tbl>
      <w:tblPr>
        <w:tblStyle w:val="TableGrid"/>
        <w:tblW w:type="auto" w:w="0"/>
        <w:tblLayout w:type="fixed"/>
        <w:tblLook w:firstColumn="1" w:firstRow="1" w:lastColumn="0" w:lastRow="0" w:noHBand="0" w:noVBand="1" w:val="04A0"/>
      </w:tblPr>
      <w:tblGrid>
        <w:gridCol w:w="2540"/>
        <w:gridCol w:w="6531"/>
      </w:tblGrid>
      <w:tr>
        <w:trPr>
          <w:tblHeader/>
          <w:cantSplit/>
        </w:trPr>
        <w:tc>
          <w:tcPr>
            <w:tcW w:type="dxa" w:w="2540"/>
          </w:tcPr>
          <w:p>
            <w:pPr>
              <w:spacing w:line="240" w:lineRule="auto" w:after="100" w:before="100"/>
              <w:ind w:firstLine="0"/>
            </w:pPr>
            <w:r>
              <w:rPr>
                <w:b/>
                <w:sz w:val="20"/>
              </w:rPr>
              <w:t>Tecnologia</w:t>
            </w:r>
          </w:p>
        </w:tc>
        <w:tc>
          <w:tcPr>
            <w:tcW w:type="dxa" w:w="6531"/>
          </w:tcPr>
          <w:p>
            <w:pPr>
              <w:spacing w:line="240" w:lineRule="auto" w:after="100" w:before="100"/>
              <w:ind w:firstLine="0"/>
            </w:pPr>
            <w:r>
              <w:rPr>
                <w:b/>
                <w:sz w:val="20"/>
              </w:rPr>
              <w:t>Papel no Nexly e explicação</w:t>
            </w:r>
          </w:p>
        </w:tc>
      </w:tr>
      <w:tr>
        <w:trPr>
          <w:cantSplit/>
        </w:trPr>
        <w:tc>
          <w:tcPr>
            <w:tcW w:type="dxa" w:w="2540"/>
          </w:tcPr>
          <w:p>
            <w:pPr>
              <w:spacing w:line="240" w:lineRule="auto" w:after="100" w:before="100"/>
              <w:ind w:firstLine="0"/>
            </w:pPr>
            <w:r>
              <w:rPr>
                <w:b w:val="0"/>
                <w:sz w:val="20"/>
              </w:rPr>
              <w:t>HTML</w:t>
            </w:r>
          </w:p>
        </w:tc>
        <w:tc>
          <w:tcPr>
            <w:tcW w:type="dxa" w:w="6531"/>
          </w:tcPr>
          <w:p>
            <w:pPr>
              <w:spacing w:line="240" w:lineRule="auto" w:after="100" w:before="100"/>
              <w:ind w:firstLine="0"/>
            </w:pPr>
            <w:r>
              <w:rPr>
                <w:b w:val="0"/>
                <w:sz w:val="20"/>
              </w:rPr>
              <w:t>Estrutura os elementos das páginas, como títulos, campos e botões.</w:t>
            </w:r>
          </w:p>
        </w:tc>
      </w:tr>
      <w:tr>
        <w:trPr>
          <w:cantSplit/>
        </w:trPr>
        <w:tc>
          <w:tcPr>
            <w:tcW w:type="dxa" w:w="2540"/>
          </w:tcPr>
          <w:p>
            <w:pPr>
              <w:spacing w:line="240" w:lineRule="auto" w:after="100" w:before="100"/>
              <w:ind w:firstLine="0"/>
            </w:pPr>
            <w:r>
              <w:rPr>
                <w:b w:val="0"/>
                <w:sz w:val="20"/>
              </w:rPr>
              <w:t>CSS</w:t>
            </w:r>
          </w:p>
        </w:tc>
        <w:tc>
          <w:tcPr>
            <w:tcW w:type="dxa" w:w="6531"/>
          </w:tcPr>
          <w:p>
            <w:pPr>
              <w:spacing w:line="240" w:lineRule="auto" w:after="100" w:before="100"/>
              <w:ind w:firstLine="0"/>
            </w:pPr>
            <w:r>
              <w:rPr>
                <w:b w:val="0"/>
                <w:sz w:val="20"/>
              </w:rPr>
              <w:t>Define apresentação, espaçamento, cores e adaptação a telas menores.</w:t>
            </w:r>
          </w:p>
        </w:tc>
      </w:tr>
      <w:tr>
        <w:trPr>
          <w:cantSplit/>
        </w:trPr>
        <w:tc>
          <w:tcPr>
            <w:tcW w:type="dxa" w:w="2540"/>
          </w:tcPr>
          <w:p>
            <w:pPr>
              <w:spacing w:line="240" w:lineRule="auto" w:after="100" w:before="100"/>
              <w:ind w:firstLine="0"/>
            </w:pPr>
            <w:r>
              <w:rPr>
                <w:b w:val="0"/>
                <w:sz w:val="20"/>
              </w:rPr>
              <w:t>JavaScript</w:t>
            </w:r>
          </w:p>
        </w:tc>
        <w:tc>
          <w:tcPr>
            <w:tcW w:type="dxa" w:w="6531"/>
          </w:tcPr>
          <w:p>
            <w:pPr>
              <w:spacing w:line="240" w:lineRule="auto" w:after="100" w:before="100"/>
              <w:ind w:firstLine="0"/>
            </w:pPr>
            <w:r>
              <w:rPr>
                <w:b w:val="0"/>
                <w:sz w:val="20"/>
              </w:rPr>
              <w:t>Executa interações no navegador e código do ecossistema Node.js.</w:t>
            </w:r>
          </w:p>
        </w:tc>
      </w:tr>
      <w:tr>
        <w:trPr>
          <w:cantSplit/>
        </w:trPr>
        <w:tc>
          <w:tcPr>
            <w:tcW w:type="dxa" w:w="2540"/>
          </w:tcPr>
          <w:p>
            <w:pPr>
              <w:spacing w:line="240" w:lineRule="auto" w:after="100" w:before="100"/>
              <w:ind w:firstLine="0"/>
            </w:pPr>
            <w:r>
              <w:rPr>
                <w:b w:val="0"/>
                <w:sz w:val="20"/>
              </w:rPr>
              <w:t>TypeScript</w:t>
            </w:r>
          </w:p>
        </w:tc>
        <w:tc>
          <w:tcPr>
            <w:tcW w:type="dxa" w:w="6531"/>
          </w:tcPr>
          <w:p>
            <w:pPr>
              <w:spacing w:line="240" w:lineRule="auto" w:after="100" w:before="100"/>
              <w:ind w:firstLine="0"/>
            </w:pPr>
            <w:r>
              <w:rPr>
                <w:b w:val="0"/>
                <w:sz w:val="20"/>
              </w:rPr>
              <w:t>Acrescenta tipos ao JavaScript e identifica incompatibilidades durante o desenvolvimento. Não substitui validação dos dados recebidos.</w:t>
            </w:r>
          </w:p>
        </w:tc>
      </w:tr>
      <w:tr>
        <w:trPr>
          <w:cantSplit/>
        </w:trPr>
        <w:tc>
          <w:tcPr>
            <w:tcW w:type="dxa" w:w="2540"/>
          </w:tcPr>
          <w:p>
            <w:pPr>
              <w:spacing w:line="240" w:lineRule="auto" w:after="100" w:before="100"/>
              <w:ind w:firstLine="0"/>
            </w:pPr>
            <w:r>
              <w:rPr>
                <w:b w:val="0"/>
                <w:sz w:val="20"/>
              </w:rPr>
              <w:t>React 19</w:t>
            </w:r>
          </w:p>
        </w:tc>
        <w:tc>
          <w:tcPr>
            <w:tcW w:type="dxa" w:w="6531"/>
          </w:tcPr>
          <w:p>
            <w:pPr>
              <w:spacing w:line="240" w:lineRule="auto" w:after="100" w:before="100"/>
              <w:ind w:firstLine="0"/>
            </w:pPr>
            <w:r>
              <w:rPr>
                <w:b w:val="0"/>
                <w:sz w:val="20"/>
              </w:rPr>
              <w:t>Divide a interface em componentes e atualiza a tela conforme o estado muda.</w:t>
            </w:r>
          </w:p>
        </w:tc>
      </w:tr>
      <w:tr>
        <w:trPr>
          <w:cantSplit/>
        </w:trPr>
        <w:tc>
          <w:tcPr>
            <w:tcW w:type="dxa" w:w="2540"/>
          </w:tcPr>
          <w:p>
            <w:pPr>
              <w:spacing w:line="240" w:lineRule="auto" w:after="100" w:before="100"/>
              <w:ind w:firstLine="0"/>
            </w:pPr>
            <w:r>
              <w:rPr>
                <w:b w:val="0"/>
                <w:sz w:val="20"/>
              </w:rPr>
              <w:t>Next.js 16</w:t>
            </w:r>
          </w:p>
        </w:tc>
        <w:tc>
          <w:tcPr>
            <w:tcW w:type="dxa" w:w="6531"/>
          </w:tcPr>
          <w:p>
            <w:pPr>
              <w:spacing w:line="240" w:lineRule="auto" w:after="100" w:before="100"/>
              <w:ind w:firstLine="0"/>
            </w:pPr>
            <w:r>
              <w:rPr>
                <w:b w:val="0"/>
                <w:sz w:val="20"/>
              </w:rPr>
              <w:t>Organiza páginas, rotas, componentes de servidor e cliente, imagens e compilação do frontend.</w:t>
            </w:r>
          </w:p>
        </w:tc>
      </w:tr>
      <w:tr>
        <w:trPr>
          <w:cantSplit/>
        </w:trPr>
        <w:tc>
          <w:tcPr>
            <w:tcW w:type="dxa" w:w="2540"/>
          </w:tcPr>
          <w:p>
            <w:pPr>
              <w:spacing w:line="240" w:lineRule="auto" w:after="100" w:before="100"/>
              <w:ind w:firstLine="0"/>
            </w:pPr>
            <w:r>
              <w:rPr>
                <w:b w:val="0"/>
                <w:sz w:val="20"/>
              </w:rPr>
              <w:t>Node.js 24</w:t>
            </w:r>
          </w:p>
        </w:tc>
        <w:tc>
          <w:tcPr>
            <w:tcW w:type="dxa" w:w="6531"/>
          </w:tcPr>
          <w:p>
            <w:pPr>
              <w:spacing w:line="240" w:lineRule="auto" w:after="100" w:before="100"/>
              <w:ind w:firstLine="0"/>
            </w:pPr>
            <w:r>
              <w:rPr>
                <w:b w:val="0"/>
                <w:sz w:val="20"/>
              </w:rPr>
              <w:t>Executa JavaScript no servidor e as ferramentas de desenvolvimento. A versão de referência está em .nvmrc.</w:t>
            </w:r>
          </w:p>
        </w:tc>
      </w:tr>
      <w:tr>
        <w:trPr>
          <w:cantSplit/>
        </w:trPr>
        <w:tc>
          <w:tcPr>
            <w:tcW w:type="dxa" w:w="2540"/>
          </w:tcPr>
          <w:p>
            <w:pPr>
              <w:spacing w:line="240" w:lineRule="auto" w:after="100" w:before="100"/>
              <w:ind w:firstLine="0"/>
            </w:pPr>
            <w:r>
              <w:rPr>
                <w:b w:val="0"/>
                <w:sz w:val="20"/>
              </w:rPr>
              <w:t>NestJS 12</w:t>
            </w:r>
          </w:p>
        </w:tc>
        <w:tc>
          <w:tcPr>
            <w:tcW w:type="dxa" w:w="6531"/>
          </w:tcPr>
          <w:p>
            <w:pPr>
              <w:spacing w:line="240" w:lineRule="auto" w:after="100" w:before="100"/>
              <w:ind w:firstLine="0"/>
            </w:pPr>
            <w:r>
              <w:rPr>
                <w:b w:val="0"/>
                <w:sz w:val="20"/>
              </w:rPr>
              <w:t>Organiza a API em módulos, controllers, serviços e dependências injetadas.</w:t>
            </w:r>
          </w:p>
        </w:tc>
      </w:tr>
      <w:tr>
        <w:trPr>
          <w:cantSplit/>
        </w:trPr>
        <w:tc>
          <w:tcPr>
            <w:tcW w:type="dxa" w:w="2540"/>
          </w:tcPr>
          <w:p>
            <w:pPr>
              <w:spacing w:line="240" w:lineRule="auto" w:after="100" w:before="100"/>
              <w:ind w:firstLine="0"/>
            </w:pPr>
            <w:r>
              <w:rPr>
                <w:b w:val="0"/>
                <w:sz w:val="20"/>
              </w:rPr>
              <w:t>Express</w:t>
            </w:r>
          </w:p>
        </w:tc>
        <w:tc>
          <w:tcPr>
            <w:tcW w:type="dxa" w:w="6531"/>
          </w:tcPr>
          <w:p>
            <w:pPr>
              <w:spacing w:line="240" w:lineRule="auto" w:after="100" w:before="100"/>
              <w:ind w:firstLine="0"/>
            </w:pPr>
            <w:r>
              <w:rPr>
                <w:b w:val="0"/>
                <w:sz w:val="20"/>
              </w:rPr>
              <w:t>Atende as requisições HTTP sob o adaptador utilizado pelo NestJS.</w:t>
            </w:r>
          </w:p>
        </w:tc>
      </w:tr>
      <w:tr>
        <w:trPr>
          <w:cantSplit/>
        </w:trPr>
        <w:tc>
          <w:tcPr>
            <w:tcW w:type="dxa" w:w="2540"/>
          </w:tcPr>
          <w:p>
            <w:pPr>
              <w:spacing w:line="240" w:lineRule="auto" w:after="100" w:before="100"/>
              <w:ind w:firstLine="0"/>
            </w:pPr>
            <w:r>
              <w:rPr>
                <w:b w:val="0"/>
                <w:sz w:val="20"/>
              </w:rPr>
              <w:t>Tailwind CSS 3</w:t>
            </w:r>
          </w:p>
        </w:tc>
        <w:tc>
          <w:tcPr>
            <w:tcW w:type="dxa" w:w="6531"/>
          </w:tcPr>
          <w:p>
            <w:pPr>
              <w:spacing w:line="240" w:lineRule="auto" w:after="100" w:before="100"/>
              <w:ind w:firstLine="0"/>
            </w:pPr>
            <w:r>
              <w:rPr>
                <w:b w:val="0"/>
                <w:sz w:val="20"/>
              </w:rPr>
              <w:t>Oferece classes utilitárias para construir o visual sem repetir regras de estilo.</w:t>
            </w:r>
          </w:p>
        </w:tc>
      </w:tr>
      <w:tr>
        <w:trPr>
          <w:cantSplit/>
        </w:trPr>
        <w:tc>
          <w:tcPr>
            <w:tcW w:type="dxa" w:w="2540"/>
          </w:tcPr>
          <w:p>
            <w:pPr>
              <w:spacing w:line="240" w:lineRule="auto" w:after="100" w:before="100"/>
              <w:ind w:firstLine="0"/>
            </w:pPr>
            <w:r>
              <w:rPr>
                <w:b w:val="0"/>
                <w:sz w:val="20"/>
              </w:rPr>
              <w:t>Prisma 5</w:t>
            </w:r>
          </w:p>
        </w:tc>
        <w:tc>
          <w:tcPr>
            <w:tcW w:type="dxa" w:w="6531"/>
          </w:tcPr>
          <w:p>
            <w:pPr>
              <w:spacing w:line="240" w:lineRule="auto" w:after="100" w:before="100"/>
              <w:ind w:firstLine="0"/>
            </w:pPr>
            <w:r>
              <w:rPr>
                <w:b w:val="0"/>
                <w:sz w:val="20"/>
              </w:rPr>
              <w:t>Define modelos, gera o cliente de acesso e mantém migrações do PostgreSQL.</w:t>
            </w:r>
          </w:p>
        </w:tc>
      </w:tr>
      <w:tr>
        <w:trPr>
          <w:cantSplit/>
        </w:trPr>
        <w:tc>
          <w:tcPr>
            <w:tcW w:type="dxa" w:w="2540"/>
          </w:tcPr>
          <w:p>
            <w:pPr>
              <w:spacing w:line="240" w:lineRule="auto" w:after="100" w:before="100"/>
              <w:ind w:firstLine="0"/>
            </w:pPr>
            <w:r>
              <w:rPr>
                <w:b w:val="0"/>
                <w:sz w:val="20"/>
              </w:rPr>
              <w:t>PostgreSQL 16</w:t>
            </w:r>
          </w:p>
        </w:tc>
        <w:tc>
          <w:tcPr>
            <w:tcW w:type="dxa" w:w="6531"/>
          </w:tcPr>
          <w:p>
            <w:pPr>
              <w:spacing w:line="240" w:lineRule="auto" w:after="100" w:before="100"/>
              <w:ind w:firstLine="0"/>
            </w:pPr>
            <w:r>
              <w:rPr>
                <w:b w:val="0"/>
                <w:sz w:val="20"/>
              </w:rPr>
              <w:t>Persiste empresas, agenda, produtos, vendas e demais registros relacionados, com transações e índices.</w:t>
            </w:r>
          </w:p>
        </w:tc>
      </w:tr>
      <w:tr>
        <w:trPr>
          <w:cantSplit/>
        </w:trPr>
        <w:tc>
          <w:tcPr>
            <w:tcW w:type="dxa" w:w="2540"/>
          </w:tcPr>
          <w:p>
            <w:pPr>
              <w:spacing w:line="240" w:lineRule="auto" w:after="100" w:before="100"/>
              <w:ind w:firstLine="0"/>
            </w:pPr>
            <w:r>
              <w:rPr>
                <w:b w:val="0"/>
                <w:sz w:val="20"/>
              </w:rPr>
              <w:t>Supabase</w:t>
            </w:r>
          </w:p>
        </w:tc>
        <w:tc>
          <w:tcPr>
            <w:tcW w:type="dxa" w:w="6531"/>
          </w:tcPr>
          <w:p>
            <w:pPr>
              <w:spacing w:line="240" w:lineRule="auto" w:after="100" w:before="100"/>
              <w:ind w:firstLine="0"/>
            </w:pPr>
            <w:r>
              <w:rPr>
                <w:b w:val="0"/>
                <w:sz w:val="20"/>
              </w:rPr>
              <w:t>Hospeda o PostgreSQL de produção. As permissões da Data API exigem configuração própria; o login do Nexly é implementado na API NestJS.</w:t>
            </w:r>
          </w:p>
        </w:tc>
      </w:tr>
      <w:tr>
        <w:trPr>
          <w:cantSplit/>
        </w:trPr>
        <w:tc>
          <w:tcPr>
            <w:tcW w:type="dxa" w:w="2540"/>
          </w:tcPr>
          <w:p>
            <w:pPr>
              <w:spacing w:line="240" w:lineRule="auto" w:after="100" w:before="100"/>
              <w:ind w:firstLine="0"/>
            </w:pPr>
            <w:r>
              <w:rPr>
                <w:b w:val="0"/>
                <w:sz w:val="20"/>
              </w:rPr>
              <w:t>Redis 7</w:t>
            </w:r>
          </w:p>
        </w:tc>
        <w:tc>
          <w:tcPr>
            <w:tcW w:type="dxa" w:w="6531"/>
          </w:tcPr>
          <w:p>
            <w:pPr>
              <w:spacing w:line="240" w:lineRule="auto" w:after="100" w:before="100"/>
              <w:ind w:firstLine="0"/>
            </w:pPr>
            <w:r>
              <w:rPr>
                <w:b w:val="0"/>
                <w:sz w:val="20"/>
              </w:rPr>
              <w:t>Mantém cache, cotas distribuídas e estados temporários de autenticação.</w:t>
            </w:r>
          </w:p>
        </w:tc>
      </w:tr>
      <w:tr>
        <w:trPr>
          <w:cantSplit/>
        </w:trPr>
        <w:tc>
          <w:tcPr>
            <w:tcW w:type="dxa" w:w="2540"/>
          </w:tcPr>
          <w:p>
            <w:pPr>
              <w:spacing w:line="240" w:lineRule="auto" w:after="100" w:before="100"/>
              <w:ind w:firstLine="0"/>
            </w:pPr>
            <w:r>
              <w:rPr>
                <w:b w:val="0"/>
                <w:sz w:val="20"/>
              </w:rPr>
              <w:t>Axios</w:t>
            </w:r>
          </w:p>
        </w:tc>
        <w:tc>
          <w:tcPr>
            <w:tcW w:type="dxa" w:w="6531"/>
          </w:tcPr>
          <w:p>
            <w:pPr>
              <w:spacing w:line="240" w:lineRule="auto" w:after="100" w:before="100"/>
              <w:ind w:firstLine="0"/>
            </w:pPr>
            <w:r>
              <w:rPr>
                <w:b w:val="0"/>
                <w:sz w:val="20"/>
              </w:rPr>
              <w:t>Centraliza chamadas HTTP do frontend à API e tratamento de respostas.</w:t>
            </w:r>
          </w:p>
        </w:tc>
      </w:tr>
      <w:tr>
        <w:trPr>
          <w:cantSplit/>
        </w:trPr>
        <w:tc>
          <w:tcPr>
            <w:tcW w:type="dxa" w:w="2540"/>
          </w:tcPr>
          <w:p>
            <w:pPr>
              <w:spacing w:line="240" w:lineRule="auto" w:after="100" w:before="100"/>
              <w:ind w:firstLine="0"/>
            </w:pPr>
            <w:r>
              <w:rPr>
                <w:b w:val="0"/>
                <w:sz w:val="20"/>
              </w:rPr>
              <w:t>React Hook Form e Zod</w:t>
            </w:r>
          </w:p>
        </w:tc>
        <w:tc>
          <w:tcPr>
            <w:tcW w:type="dxa" w:w="6531"/>
          </w:tcPr>
          <w:p>
            <w:pPr>
              <w:spacing w:line="240" w:lineRule="auto" w:after="100" w:before="100"/>
              <w:ind w:firstLine="0"/>
            </w:pPr>
            <w:r>
              <w:rPr>
                <w:b w:val="0"/>
                <w:sz w:val="20"/>
              </w:rPr>
              <w:t>Organizam formulários e validam estrutura e conteúdo das entradas.</w:t>
            </w:r>
          </w:p>
        </w:tc>
      </w:tr>
      <w:tr>
        <w:trPr>
          <w:cantSplit/>
        </w:trPr>
        <w:tc>
          <w:tcPr>
            <w:tcW w:type="dxa" w:w="2540"/>
          </w:tcPr>
          <w:p>
            <w:pPr>
              <w:spacing w:line="240" w:lineRule="auto" w:after="100" w:before="100"/>
              <w:ind w:firstLine="0"/>
            </w:pPr>
            <w:r>
              <w:rPr>
                <w:b w:val="0"/>
                <w:sz w:val="20"/>
              </w:rPr>
              <w:t>Class Validator e Class Transformer</w:t>
            </w:r>
          </w:p>
        </w:tc>
        <w:tc>
          <w:tcPr>
            <w:tcW w:type="dxa" w:w="6531"/>
          </w:tcPr>
          <w:p>
            <w:pPr>
              <w:spacing w:line="240" w:lineRule="auto" w:after="100" w:before="100"/>
              <w:ind w:firstLine="0"/>
            </w:pPr>
            <w:r>
              <w:rPr>
                <w:b w:val="0"/>
                <w:sz w:val="20"/>
              </w:rPr>
              <w:t>Validam DTOs e transformam dados na fronteira da API.</w:t>
            </w:r>
          </w:p>
        </w:tc>
      </w:tr>
      <w:tr>
        <w:trPr>
          <w:cantSplit/>
        </w:trPr>
        <w:tc>
          <w:tcPr>
            <w:tcW w:type="dxa" w:w="2540"/>
          </w:tcPr>
          <w:p>
            <w:pPr>
              <w:spacing w:line="240" w:lineRule="auto" w:after="100" w:before="100"/>
              <w:ind w:firstLine="0"/>
            </w:pPr>
            <w:r>
              <w:rPr>
                <w:b w:val="0"/>
                <w:sz w:val="20"/>
              </w:rPr>
              <w:t>Recharts</w:t>
            </w:r>
          </w:p>
        </w:tc>
        <w:tc>
          <w:tcPr>
            <w:tcW w:type="dxa" w:w="6531"/>
          </w:tcPr>
          <w:p>
            <w:pPr>
              <w:spacing w:line="240" w:lineRule="auto" w:after="100" w:before="100"/>
              <w:ind w:firstLine="0"/>
            </w:pPr>
            <w:r>
              <w:rPr>
                <w:b w:val="0"/>
                <w:sz w:val="20"/>
              </w:rPr>
              <w:t>Desenha gráficos; valores também podem ser apresentados em texto.</w:t>
            </w:r>
          </w:p>
        </w:tc>
      </w:tr>
      <w:tr>
        <w:trPr>
          <w:cantSplit/>
        </w:trPr>
        <w:tc>
          <w:tcPr>
            <w:tcW w:type="dxa" w:w="2540"/>
          </w:tcPr>
          <w:p>
            <w:pPr>
              <w:spacing w:line="240" w:lineRule="auto" w:after="100" w:before="100"/>
              <w:ind w:firstLine="0"/>
            </w:pPr>
            <w:r>
              <w:rPr>
                <w:b w:val="0"/>
                <w:sz w:val="20"/>
              </w:rPr>
              <w:t>Framer Motion</w:t>
            </w:r>
          </w:p>
        </w:tc>
        <w:tc>
          <w:tcPr>
            <w:tcW w:type="dxa" w:w="6531"/>
          </w:tcPr>
          <w:p>
            <w:pPr>
              <w:spacing w:line="240" w:lineRule="auto" w:after="100" w:before="100"/>
              <w:ind w:firstLine="0"/>
            </w:pPr>
            <w:r>
              <w:rPr>
                <w:b w:val="0"/>
                <w:sz w:val="20"/>
              </w:rPr>
              <w:t>Implementa transições e animações da interface.</w:t>
            </w:r>
          </w:p>
        </w:tc>
      </w:tr>
      <w:tr>
        <w:trPr>
          <w:cantSplit/>
        </w:trPr>
        <w:tc>
          <w:tcPr>
            <w:tcW w:type="dxa" w:w="2540"/>
          </w:tcPr>
          <w:p>
            <w:pPr>
              <w:spacing w:line="240" w:lineRule="auto" w:after="100" w:before="100"/>
              <w:ind w:firstLine="0"/>
            </w:pPr>
            <w:r>
              <w:rPr>
                <w:b w:val="0"/>
                <w:sz w:val="20"/>
              </w:rPr>
              <w:t>Font Awesome e Inter</w:t>
            </w:r>
          </w:p>
        </w:tc>
        <w:tc>
          <w:tcPr>
            <w:tcW w:type="dxa" w:w="6531"/>
          </w:tcPr>
          <w:p>
            <w:pPr>
              <w:spacing w:line="240" w:lineRule="auto" w:after="100" w:before="100"/>
              <w:ind w:firstLine="0"/>
            </w:pPr>
            <w:r>
              <w:rPr>
                <w:b w:val="0"/>
                <w:sz w:val="20"/>
              </w:rPr>
              <w:t>Fornecem ícones e tipografia utilizados na identidade visual.</w:t>
            </w:r>
          </w:p>
        </w:tc>
      </w:tr>
      <w:tr>
        <w:trPr>
          <w:cantSplit/>
        </w:trPr>
        <w:tc>
          <w:tcPr>
            <w:tcW w:type="dxa" w:w="2540"/>
          </w:tcPr>
          <w:p>
            <w:pPr>
              <w:spacing w:line="240" w:lineRule="auto" w:after="100" w:before="100"/>
              <w:ind w:firstLine="0"/>
            </w:pPr>
            <w:r>
              <w:rPr>
                <w:b w:val="0"/>
                <w:sz w:val="20"/>
              </w:rPr>
              <w:t>Sonner</w:t>
            </w:r>
          </w:p>
        </w:tc>
        <w:tc>
          <w:tcPr>
            <w:tcW w:type="dxa" w:w="6531"/>
          </w:tcPr>
          <w:p>
            <w:pPr>
              <w:spacing w:line="240" w:lineRule="auto" w:after="100" w:before="100"/>
              <w:ind w:firstLine="0"/>
            </w:pPr>
            <w:r>
              <w:rPr>
                <w:b w:val="0"/>
                <w:sz w:val="20"/>
              </w:rPr>
              <w:t>Apresenta avisos e confirmações de operações na interface.</w:t>
            </w:r>
          </w:p>
        </w:tc>
      </w:tr>
      <w:tr>
        <w:trPr>
          <w:cantSplit/>
        </w:trPr>
        <w:tc>
          <w:tcPr>
            <w:tcW w:type="dxa" w:w="2540"/>
          </w:tcPr>
          <w:p>
            <w:pPr>
              <w:spacing w:line="240" w:lineRule="auto" w:after="100" w:before="100"/>
              <w:ind w:firstLine="0"/>
            </w:pPr>
            <w:r>
              <w:rPr>
                <w:b w:val="0"/>
                <w:sz w:val="20"/>
              </w:rPr>
              <w:t>Date Fns e Date Fns TZ</w:t>
            </w:r>
          </w:p>
        </w:tc>
        <w:tc>
          <w:tcPr>
            <w:tcW w:type="dxa" w:w="6531"/>
          </w:tcPr>
          <w:p>
            <w:pPr>
              <w:spacing w:line="240" w:lineRule="auto" w:after="100" w:before="100"/>
              <w:ind w:firstLine="0"/>
            </w:pPr>
            <w:r>
              <w:rPr>
                <w:b w:val="0"/>
                <w:sz w:val="20"/>
              </w:rPr>
              <w:t>Manipulam datas, períodos e fusos; distinguem dia civil de instante UTC.</w:t>
            </w:r>
          </w:p>
        </w:tc>
      </w:tr>
      <w:tr>
        <w:trPr>
          <w:cantSplit/>
        </w:trPr>
        <w:tc>
          <w:tcPr>
            <w:tcW w:type="dxa" w:w="2540"/>
          </w:tcPr>
          <w:p>
            <w:pPr>
              <w:spacing w:line="240" w:lineRule="auto" w:after="100" w:before="100"/>
              <w:ind w:firstLine="0"/>
            </w:pPr>
            <w:r>
              <w:rPr>
                <w:b w:val="0"/>
                <w:sz w:val="20"/>
              </w:rPr>
              <w:t>ZXing</w:t>
            </w:r>
          </w:p>
        </w:tc>
        <w:tc>
          <w:tcPr>
            <w:tcW w:type="dxa" w:w="6531"/>
          </w:tcPr>
          <w:p>
            <w:pPr>
              <w:spacing w:line="240" w:lineRule="auto" w:after="100" w:before="100"/>
              <w:ind w:firstLine="0"/>
            </w:pPr>
            <w:r>
              <w:rPr>
                <w:b w:val="0"/>
                <w:sz w:val="20"/>
              </w:rPr>
              <w:t>Apoia leitura de códigos de barras por câmera em fluxos compatíveis.</w:t>
            </w:r>
          </w:p>
        </w:tc>
      </w:tr>
      <w:tr>
        <w:trPr>
          <w:cantSplit/>
        </w:trPr>
        <w:tc>
          <w:tcPr>
            <w:tcW w:type="dxa" w:w="2540"/>
          </w:tcPr>
          <w:p>
            <w:pPr>
              <w:spacing w:line="240" w:lineRule="auto" w:after="100" w:before="100"/>
              <w:ind w:firstLine="0"/>
            </w:pPr>
            <w:r>
              <w:rPr>
                <w:b w:val="0"/>
                <w:sz w:val="20"/>
              </w:rPr>
              <w:t>MDX e YAML</w:t>
            </w:r>
          </w:p>
        </w:tc>
        <w:tc>
          <w:tcPr>
            <w:tcW w:type="dxa" w:w="6531"/>
          </w:tcPr>
          <w:p>
            <w:pPr>
              <w:spacing w:line="240" w:lineRule="auto" w:after="100" w:before="100"/>
              <w:ind w:firstLine="0"/>
            </w:pPr>
            <w:r>
              <w:rPr>
                <w:b w:val="0"/>
                <w:sz w:val="20"/>
              </w:rPr>
              <w:t>Organizam conteúdo e metadados dos artigos do blog.</w:t>
            </w:r>
          </w:p>
        </w:tc>
      </w:tr>
      <w:tr>
        <w:trPr>
          <w:cantSplit/>
        </w:trPr>
        <w:tc>
          <w:tcPr>
            <w:tcW w:type="dxa" w:w="2540"/>
          </w:tcPr>
          <w:p>
            <w:pPr>
              <w:spacing w:line="240" w:lineRule="auto" w:after="100" w:before="100"/>
              <w:ind w:firstLine="0"/>
            </w:pPr>
            <w:r>
              <w:rPr>
                <w:b w:val="0"/>
                <w:sz w:val="20"/>
              </w:rPr>
              <w:t>Argon2id</w:t>
            </w:r>
          </w:p>
        </w:tc>
        <w:tc>
          <w:tcPr>
            <w:tcW w:type="dxa" w:w="6531"/>
          </w:tcPr>
          <w:p>
            <w:pPr>
              <w:spacing w:line="240" w:lineRule="auto" w:after="100" w:before="100"/>
              <w:ind w:firstLine="0"/>
            </w:pPr>
            <w:r>
              <w:rPr>
                <w:b w:val="0"/>
                <w:sz w:val="20"/>
              </w:rPr>
              <w:t>Transforma senhas em hashes verificáveis, sem persistir a senha original.</w:t>
            </w:r>
          </w:p>
        </w:tc>
      </w:tr>
      <w:tr>
        <w:trPr>
          <w:cantSplit/>
        </w:trPr>
        <w:tc>
          <w:tcPr>
            <w:tcW w:type="dxa" w:w="2540"/>
          </w:tcPr>
          <w:p>
            <w:pPr>
              <w:spacing w:line="240" w:lineRule="auto" w:after="100" w:before="100"/>
              <w:ind w:firstLine="0"/>
            </w:pPr>
            <w:r>
              <w:rPr>
                <w:b w:val="0"/>
                <w:sz w:val="20"/>
              </w:rPr>
              <w:t>JWT RS256 e criptografia Node.js</w:t>
            </w:r>
          </w:p>
        </w:tc>
        <w:tc>
          <w:tcPr>
            <w:tcW w:type="dxa" w:w="6531"/>
          </w:tcPr>
          <w:p>
            <w:pPr>
              <w:spacing w:line="240" w:lineRule="auto" w:after="100" w:before="100"/>
              <w:ind w:firstLine="0"/>
            </w:pPr>
            <w:r>
              <w:rPr>
                <w:b w:val="0"/>
                <w:sz w:val="20"/>
              </w:rPr>
              <w:t>Assinam tokens e protegem conteúdos que precisam ser recuperados, como estados cifrados de sessão.</w:t>
            </w:r>
          </w:p>
        </w:tc>
      </w:tr>
      <w:tr>
        <w:trPr>
          <w:cantSplit/>
        </w:trPr>
        <w:tc>
          <w:tcPr>
            <w:tcW w:type="dxa" w:w="2540"/>
          </w:tcPr>
          <w:p>
            <w:pPr>
              <w:spacing w:line="240" w:lineRule="auto" w:after="100" w:before="100"/>
              <w:ind w:firstLine="0"/>
            </w:pPr>
            <w:r>
              <w:rPr>
                <w:b w:val="0"/>
                <w:sz w:val="20"/>
              </w:rPr>
              <w:t>Otplib e QRCode</w:t>
            </w:r>
          </w:p>
        </w:tc>
        <w:tc>
          <w:tcPr>
            <w:tcW w:type="dxa" w:w="6531"/>
          </w:tcPr>
          <w:p>
            <w:pPr>
              <w:spacing w:line="240" w:lineRule="auto" w:after="100" w:before="100"/>
              <w:ind w:firstLine="0"/>
            </w:pPr>
            <w:r>
              <w:rPr>
                <w:b w:val="0"/>
                <w:sz w:val="20"/>
              </w:rPr>
              <w:t>Apoiam autenticação TOTP e configuração do autenticador.</w:t>
            </w:r>
          </w:p>
        </w:tc>
      </w:tr>
      <w:tr>
        <w:trPr>
          <w:cantSplit/>
        </w:trPr>
        <w:tc>
          <w:tcPr>
            <w:tcW w:type="dxa" w:w="2540"/>
          </w:tcPr>
          <w:p>
            <w:pPr>
              <w:spacing w:line="240" w:lineRule="auto" w:after="100" w:before="100"/>
              <w:ind w:firstLine="0"/>
            </w:pPr>
            <w:r>
              <w:rPr>
                <w:b w:val="0"/>
                <w:sz w:val="20"/>
              </w:rPr>
              <w:t>Google Auth Library</w:t>
            </w:r>
          </w:p>
        </w:tc>
        <w:tc>
          <w:tcPr>
            <w:tcW w:type="dxa" w:w="6531"/>
          </w:tcPr>
          <w:p>
            <w:pPr>
              <w:spacing w:line="240" w:lineRule="auto" w:after="100" w:before="100"/>
              <w:ind w:firstLine="0"/>
            </w:pPr>
            <w:r>
              <w:rPr>
                <w:b w:val="0"/>
                <w:sz w:val="20"/>
              </w:rPr>
              <w:t>Verifica assinatura e declarações dos tokens recebidos do Google.</w:t>
            </w:r>
          </w:p>
        </w:tc>
      </w:tr>
      <w:tr>
        <w:trPr>
          <w:cantSplit/>
        </w:trPr>
        <w:tc>
          <w:tcPr>
            <w:tcW w:type="dxa" w:w="2540"/>
          </w:tcPr>
          <w:p>
            <w:pPr>
              <w:spacing w:line="240" w:lineRule="auto" w:after="100" w:before="100"/>
              <w:ind w:firstLine="0"/>
            </w:pPr>
            <w:r>
              <w:rPr>
                <w:b w:val="0"/>
                <w:sz w:val="20"/>
              </w:rPr>
              <w:t>Stripe SDK</w:t>
            </w:r>
          </w:p>
        </w:tc>
        <w:tc>
          <w:tcPr>
            <w:tcW w:type="dxa" w:w="6531"/>
          </w:tcPr>
          <w:p>
            <w:pPr>
              <w:spacing w:line="240" w:lineRule="auto" w:after="100" w:before="100"/>
              <w:ind w:firstLine="0"/>
            </w:pPr>
            <w:r>
              <w:rPr>
                <w:b w:val="0"/>
                <w:sz w:val="20"/>
              </w:rPr>
              <w:t>Cria Checkout e Portal de assinatura e verifica eventos do provedor.</w:t>
            </w:r>
          </w:p>
        </w:tc>
      </w:tr>
      <w:tr>
        <w:trPr>
          <w:cantSplit/>
        </w:trPr>
        <w:tc>
          <w:tcPr>
            <w:tcW w:type="dxa" w:w="2540"/>
          </w:tcPr>
          <w:p>
            <w:pPr>
              <w:spacing w:line="240" w:lineRule="auto" w:after="100" w:before="100"/>
              <w:ind w:firstLine="0"/>
            </w:pPr>
            <w:r>
              <w:rPr>
                <w:b w:val="0"/>
                <w:sz w:val="20"/>
              </w:rPr>
              <w:t>EventEmitter</w:t>
            </w:r>
          </w:p>
        </w:tc>
        <w:tc>
          <w:tcPr>
            <w:tcW w:type="dxa" w:w="6531"/>
          </w:tcPr>
          <w:p>
            <w:pPr>
              <w:spacing w:line="240" w:lineRule="auto" w:after="100" w:before="100"/>
              <w:ind w:firstLine="0"/>
            </w:pPr>
            <w:r>
              <w:rPr>
                <w:b w:val="0"/>
                <w:sz w:val="20"/>
              </w:rPr>
              <w:t>Conecta eventos e regras entre áreas, como conclusão de atendimento e consumo de insumos.</w:t>
            </w:r>
          </w:p>
        </w:tc>
      </w:tr>
      <w:tr>
        <w:trPr>
          <w:cantSplit/>
        </w:trPr>
        <w:tc>
          <w:tcPr>
            <w:tcW w:type="dxa" w:w="2540"/>
          </w:tcPr>
          <w:p>
            <w:pPr>
              <w:spacing w:line="240" w:lineRule="auto" w:after="100" w:before="100"/>
              <w:ind w:firstLine="0"/>
            </w:pPr>
            <w:r>
              <w:rPr>
                <w:b w:val="0"/>
                <w:sz w:val="20"/>
              </w:rPr>
              <w:t>Node Cron</w:t>
            </w:r>
          </w:p>
        </w:tc>
        <w:tc>
          <w:tcPr>
            <w:tcW w:type="dxa" w:w="6531"/>
          </w:tcPr>
          <w:p>
            <w:pPr>
              <w:spacing w:line="240" w:lineRule="auto" w:after="100" w:before="100"/>
              <w:ind w:firstLine="0"/>
            </w:pPr>
            <w:r>
              <w:rPr>
                <w:b w:val="0"/>
                <w:sz w:val="20"/>
              </w:rPr>
              <w:t>Agenda rotinas do backend; trabalhos duráveis mantêm estado no banco.</w:t>
            </w:r>
          </w:p>
        </w:tc>
      </w:tr>
      <w:tr>
        <w:trPr>
          <w:cantSplit/>
        </w:trPr>
        <w:tc>
          <w:tcPr>
            <w:tcW w:type="dxa" w:w="2540"/>
          </w:tcPr>
          <w:p>
            <w:pPr>
              <w:spacing w:line="240" w:lineRule="auto" w:after="100" w:before="100"/>
              <w:ind w:firstLine="0"/>
            </w:pPr>
            <w:r>
              <w:rPr>
                <w:b w:val="0"/>
                <w:sz w:val="20"/>
              </w:rPr>
              <w:t>Helmet e Compression</w:t>
            </w:r>
          </w:p>
        </w:tc>
        <w:tc>
          <w:tcPr>
            <w:tcW w:type="dxa" w:w="6531"/>
          </w:tcPr>
          <w:p>
            <w:pPr>
              <w:spacing w:line="240" w:lineRule="auto" w:after="100" w:before="100"/>
              <w:ind w:firstLine="0"/>
            </w:pPr>
            <w:r>
              <w:rPr>
                <w:b w:val="0"/>
                <w:sz w:val="20"/>
              </w:rPr>
              <w:t>Aplicam cabeçalhos HTTP de proteção e compressão de respostas.</w:t>
            </w:r>
          </w:p>
        </w:tc>
      </w:tr>
      <w:tr>
        <w:trPr>
          <w:cantSplit/>
        </w:trPr>
        <w:tc>
          <w:tcPr>
            <w:tcW w:type="dxa" w:w="2540"/>
          </w:tcPr>
          <w:p>
            <w:pPr>
              <w:spacing w:line="240" w:lineRule="auto" w:after="100" w:before="100"/>
              <w:ind w:firstLine="0"/>
            </w:pPr>
            <w:r>
              <w:rPr>
                <w:b w:val="0"/>
                <w:sz w:val="20"/>
              </w:rPr>
              <w:t>npm workspaces e Turborepo</w:t>
            </w:r>
          </w:p>
        </w:tc>
        <w:tc>
          <w:tcPr>
            <w:tcW w:type="dxa" w:w="6531"/>
          </w:tcPr>
          <w:p>
            <w:pPr>
              <w:spacing w:line="240" w:lineRule="auto" w:after="100" w:before="100"/>
              <w:ind w:firstLine="0"/>
            </w:pPr>
            <w:r>
              <w:rPr>
                <w:b w:val="0"/>
                <w:sz w:val="20"/>
              </w:rPr>
              <w:t>Organizam pacotes e executam tarefas do monorepo.</w:t>
            </w:r>
          </w:p>
        </w:tc>
      </w:tr>
      <w:tr>
        <w:trPr>
          <w:cantSplit/>
        </w:trPr>
        <w:tc>
          <w:tcPr>
            <w:tcW w:type="dxa" w:w="2540"/>
          </w:tcPr>
          <w:p>
            <w:pPr>
              <w:spacing w:line="240" w:lineRule="auto" w:after="100" w:before="100"/>
              <w:ind w:firstLine="0"/>
            </w:pPr>
            <w:r>
              <w:rPr>
                <w:b w:val="0"/>
                <w:sz w:val="20"/>
              </w:rPr>
              <w:t>Jest e Playwright</w:t>
            </w:r>
          </w:p>
        </w:tc>
        <w:tc>
          <w:tcPr>
            <w:tcW w:type="dxa" w:w="6531"/>
          </w:tcPr>
          <w:p>
            <w:pPr>
              <w:spacing w:line="240" w:lineRule="auto" w:after="100" w:before="100"/>
              <w:ind w:firstLine="0"/>
            </w:pPr>
            <w:r>
              <w:rPr>
                <w:b w:val="0"/>
                <w:sz w:val="20"/>
              </w:rPr>
              <w:t>Verificam regras da API e jornadas do usuário em navegador.</w:t>
            </w:r>
          </w:p>
        </w:tc>
      </w:tr>
      <w:tr>
        <w:trPr>
          <w:cantSplit/>
        </w:trPr>
        <w:tc>
          <w:tcPr>
            <w:tcW w:type="dxa" w:w="2540"/>
          </w:tcPr>
          <w:p>
            <w:pPr>
              <w:spacing w:line="240" w:lineRule="auto" w:after="100" w:before="100"/>
              <w:ind w:firstLine="0"/>
            </w:pPr>
            <w:r>
              <w:rPr>
                <w:b w:val="0"/>
                <w:sz w:val="20"/>
              </w:rPr>
              <w:t>ESLint e Prettier</w:t>
            </w:r>
          </w:p>
        </w:tc>
        <w:tc>
          <w:tcPr>
            <w:tcW w:type="dxa" w:w="6531"/>
          </w:tcPr>
          <w:p>
            <w:pPr>
              <w:spacing w:line="240" w:lineRule="auto" w:after="100" w:before="100"/>
              <w:ind w:firstLine="0"/>
            </w:pPr>
            <w:r>
              <w:rPr>
                <w:b w:val="0"/>
                <w:sz w:val="20"/>
              </w:rPr>
              <w:t>Conferem padrões de código e formatação.</w:t>
            </w:r>
          </w:p>
        </w:tc>
      </w:tr>
      <w:tr>
        <w:trPr>
          <w:cantSplit/>
        </w:trPr>
        <w:tc>
          <w:tcPr>
            <w:tcW w:type="dxa" w:w="2540"/>
          </w:tcPr>
          <w:p>
            <w:pPr>
              <w:spacing w:line="240" w:lineRule="auto" w:after="100" w:before="100"/>
              <w:ind w:firstLine="0"/>
            </w:pPr>
            <w:r>
              <w:rPr>
                <w:b w:val="0"/>
                <w:sz w:val="20"/>
              </w:rPr>
              <w:t>Docker Compose</w:t>
            </w:r>
          </w:p>
        </w:tc>
        <w:tc>
          <w:tcPr>
            <w:tcW w:type="dxa" w:w="6531"/>
          </w:tcPr>
          <w:p>
            <w:pPr>
              <w:spacing w:line="240" w:lineRule="auto" w:after="100" w:before="100"/>
              <w:ind w:firstLine="0"/>
            </w:pPr>
            <w:r>
              <w:rPr>
                <w:b w:val="0"/>
                <w:sz w:val="20"/>
              </w:rPr>
              <w:t>Disponibiliza ambientes reproduzíveis de serviços e dependências.</w:t>
            </w:r>
          </w:p>
        </w:tc>
      </w:tr>
      <w:tr>
        <w:trPr>
          <w:cantSplit/>
        </w:trPr>
        <w:tc>
          <w:tcPr>
            <w:tcW w:type="dxa" w:w="2540"/>
          </w:tcPr>
          <w:p>
            <w:pPr>
              <w:keepNext/>
              <w:spacing w:line="240" w:lineRule="auto" w:after="100" w:before="100"/>
              <w:ind w:firstLine="0"/>
            </w:pPr>
            <w:r>
              <w:rPr>
                <w:b w:val="0"/>
                <w:sz w:val="20"/>
              </w:rPr>
              <w:t>GitHub Actions</w:t>
            </w:r>
          </w:p>
        </w:tc>
        <w:tc>
          <w:tcPr>
            <w:tcW w:type="dxa" w:w="6531"/>
          </w:tcPr>
          <w:p>
            <w:pPr>
              <w:keepNext/>
              <w:spacing w:line="240" w:lineRule="auto" w:after="100" w:before="100"/>
              <w:ind w:firstLine="0"/>
            </w:pPr>
            <w:r>
              <w:rPr>
                <w:b w:val="0"/>
                <w:sz w:val="20"/>
              </w:rPr>
              <w:t>Executa verificações, builds, varreduras e rotinas de backup configuradas.</w:t>
            </w:r>
          </w:p>
        </w:tc>
      </w:tr>
    </w:tbl>
    <w:p>
      <w:pPr>
        <w:spacing w:line="240" w:lineRule="auto"/>
        <w:ind w:firstLine="0"/>
        <w:jc w:val="center"/>
      </w:pPr>
      <w:r>
        <w:rPr>
          <w:sz w:val="20"/>
        </w:rPr>
        <w:t>Fonte: elaboração dos autores com base no código do Nexly (2026).</w:t>
      </w:r>
    </w:p>
    <w:p>
      <w:pPr>
        <w:jc w:val="both"/>
      </w:pPr>
      <w:r>
        <w:t>As versões exatas e transitivas ficam em package-lock.json. As versões principais acima descrevem esta revisão; atualizar uma biblioteca requer compatibilidade e testes.</w:t>
      </w:r>
    </w:p>
    <w:p>
      <w:bookmarkStart w:id="15" w:name="sec15"/>
      <w:pPr>
        <w:pStyle w:val="Heading2"/>
      </w:pPr>
      <w:r>
        <w:t>3.3 Organização do código</w:t>
      </w:r>
      <w:bookmarkEnd w:id="15"/>
    </w:p>
    <w:p>
      <w:pPr>
        <w:spacing w:line="240" w:lineRule="auto"/>
        <w:ind w:firstLine="0"/>
      </w:pPr>
      <w:r>
        <w:rPr>
          <w:rFonts w:ascii="Consolas" w:hAnsi="Consolas"/>
          <w:sz w:val="18"/>
        </w:rPr>
        <w:t>apps/api/       API NestJS, Prisma e testes unitários</w:t>
      </w:r>
    </w:p>
    <w:p>
      <w:pPr>
        <w:spacing w:line="240" w:lineRule="auto"/>
        <w:ind w:firstLine="0"/>
      </w:pPr>
      <w:r>
        <w:rPr>
          <w:rFonts w:ascii="Consolas" w:hAnsi="Consolas"/>
          <w:sz w:val="18"/>
        </w:rPr>
        <w:t>apps/web/       Interface Next.js e conteúdo público</w:t>
      </w:r>
    </w:p>
    <w:p>
      <w:pPr>
        <w:spacing w:line="240" w:lineRule="auto"/>
        <w:ind w:firstLine="0"/>
      </w:pPr>
      <w:r>
        <w:rPr>
          <w:rFonts w:ascii="Consolas" w:hAnsi="Consolas"/>
          <w:sz w:val="18"/>
        </w:rPr>
        <w:t>packages/shared/  DTOs, tipos, permissões, presets e limites comuns</w:t>
      </w:r>
    </w:p>
    <w:p>
      <w:pPr>
        <w:spacing w:line="240" w:lineRule="auto"/>
        <w:ind w:firstLine="0"/>
      </w:pPr>
      <w:r>
        <w:rPr>
          <w:rFonts w:ascii="Consolas" w:hAnsi="Consolas"/>
          <w:sz w:val="18"/>
        </w:rPr>
        <w:t>packages/tsconfig/  Configurações TypeScript compartilhadas</w:t>
      </w:r>
    </w:p>
    <w:p>
      <w:pPr>
        <w:spacing w:line="240" w:lineRule="auto"/>
        <w:ind w:firstLine="0"/>
      </w:pPr>
      <w:r>
        <w:rPr>
          <w:rFonts w:ascii="Consolas" w:hAnsi="Consolas"/>
          <w:sz w:val="18"/>
        </w:rPr>
        <w:t>services/nexusauth/  Serviço complementar, com configuração própria</w:t>
      </w:r>
    </w:p>
    <w:p>
      <w:pPr>
        <w:spacing w:line="240" w:lineRule="auto"/>
        <w:ind w:firstLine="0"/>
      </w:pPr>
      <w:r>
        <w:rPr>
          <w:rFonts w:ascii="Consolas" w:hAnsi="Consolas"/>
          <w:sz w:val="18"/>
        </w:rPr>
        <w:t>e2e/            Testes Playwright e fixtures</w:t>
      </w:r>
    </w:p>
    <w:p>
      <w:pPr>
        <w:spacing w:line="240" w:lineRule="auto"/>
        <w:ind w:firstLine="0"/>
      </w:pPr>
      <w:r>
        <w:rPr>
          <w:rFonts w:ascii="Consolas" w:hAnsi="Consolas"/>
          <w:sz w:val="18"/>
        </w:rPr>
        <w:t>scripts/        Ferramentas mantidas de operação e verificação</w:t>
      </w:r>
    </w:p>
    <w:p>
      <w:pPr>
        <w:spacing w:line="240" w:lineRule="auto"/>
        <w:ind w:firstLine="0"/>
      </w:pPr>
      <w:r>
        <w:rPr>
          <w:rFonts w:ascii="Consolas" w:hAnsi="Consolas"/>
          <w:sz w:val="18"/>
        </w:rPr>
        <w:t>docs/           Documentação pública revisada</w:t>
      </w:r>
    </w:p>
    <w:p>
      <w:pPr>
        <w:jc w:val="both"/>
      </w:pPr>
      <w:r>
        <w:t>NexusAuth não faz parte dos workspaces apps/* e packages/*. A API possui uma ponte opcional por configuração. Sua presença no repositório não significa que todos os recursos do NexusAuth estejam ativos no Nexly.</w:t>
      </w:r>
    </w:p>
    <w:p>
      <w:bookmarkStart w:id="16" w:name="sec16"/>
      <w:pPr>
        <w:pStyle w:val="Heading2"/>
      </w:pPr>
      <w:r>
        <w:t>3.4 Caminho de uma operação</w:t>
      </w:r>
      <w:bookmarkEnd w:id="16"/>
    </w:p>
    <w:p>
      <w:pPr>
        <w:jc w:val="both"/>
      </w:pPr>
      <w:r>
        <w:t>Um controller recebe a requisição e seus parâmetros. Guards verificam autenticação e permissão. O contexto da empresa acompanha a execução. O serviço aplica regras e utiliza Prisma para consultar ou alterar dados. Interceptors tratam aspectos transversais, como auditoria e invalidação de cache. O frontend recebe o resultado e apresenta sucesso, erro ou ação de recuperação.</w:t>
      </w:r>
    </w:p>
    <w:p>
      <w:pPr>
        <w:jc w:val="both"/>
      </w:pPr>
      <w:r>
        <w:t>Regras que precisam ocorrer juntas utilizam transações. Filtros por empresa, políticas do banco, vínculos entre registros e verificações de concorrência se complementam. É necessário validar o papel efetivo usado pela conexão: proprietário da tabela ou credencial com bypass pode alterar o comportamento de RLS.</w:t>
      </w:r>
    </w:p>
    <w:p>
      <w:bookmarkStart w:id="17" w:name="sec17"/>
      <w:pPr>
        <w:pStyle w:val="Heading2"/>
      </w:pPr>
      <w:r>
        <w:t>3.5 Persistência e processamento</w:t>
      </w:r>
      <w:bookmarkEnd w:id="17"/>
    </w:p>
    <w:p>
      <w:pPr>
        <w:jc w:val="both"/>
      </w:pPr>
      <w:r>
        <w:t>O PostgreSQL mantém os dados de negócio e o estado dos trabalhos persistidos. Redis fornece rapidez para informações temporárias e limites compartilhados entre instâncias. Reiniciar a API não deve ser tratado como confirmação de que um trabalho externo foi concluído; estado, idempotência e retorno do provedor determinam seu resultado.</w:t>
      </w:r>
    </w:p>
    <w:p>
      <w:pPr>
        <w:jc w:val="both"/>
      </w:pPr>
      <w:r>
        <w:t>O dashboard reaproveita cache de indicadores. A consulta de pendências é separada para respeitar permissões e atualização recente. Índices, paginação e limites evitam carregar todas as linhas em telas de listagem. O modelo de dados e a referência de rotas registram os elementos desta versão.</w:t>
      </w:r>
    </w:p>
    <w:p>
      <w:bookmarkStart w:id="18" w:name="sec18"/>
      <w:pPr>
        <w:pStyle w:val="Heading1"/>
      </w:pPr>
      <w:r>
        <w:t>4 BANCO DE DADOS E INTEGRAÇÕES ENTRE REGISTROS</w:t>
      </w:r>
      <w:bookmarkEnd w:id="18"/>
    </w:p>
    <w:p>
      <w:pPr>
        <w:jc w:val="both"/>
      </w:pPr>
      <w:r>
        <w:t>Um modelo representa um conjunto de registros relacionados. Cada registro tem campos, como nome ou preço, e um identificador. As relações conectam registros: um atendimento pertence a uma empresa e faz referência a cliente, profissional e serviço.</w:t>
      </w:r>
    </w:p>
    <w:p>
      <w:bookmarkStart w:id="19" w:name="sec19"/>
      <w:pPr>
        <w:pStyle w:val="Heading2"/>
      </w:pPr>
      <w:r>
        <w:t>4.1 Persistência e integridade</w:t>
      </w:r>
      <w:bookmarkEnd w:id="19"/>
    </w:p>
    <w:p>
      <w:pPr>
        <w:jc w:val="both"/>
      </w:pPr>
      <w:r>
        <w:t>O schema desta revisão contém 41 modelos e sete enumerações. Empresa e usuário organizam identidade e contexto; clientes, profissionais e serviços sustentam a agenda; produtos, movimentos e vendas representam a operação de estoque; assinaturas, registros financeiros e trabalhos persistidos apoiam cobrança e rotinas. O inventário completo de campos e relações está em docs/MODELO_DADOS.md.</w:t>
      </w:r>
    </w:p>
    <w:p>
      <w:pPr>
        <w:jc w:val="both"/>
      </w:pPr>
      <w:r>
        <w:t>Prisma gera o cliente de acesso a partir do schema e aplica migrações versionadas. Uma migração registra mudança de estrutura; não é uma cópia de segurança. Chaves e relações preservam vínculos; índices atendem filtros frequentes; transações reúnem alterações que precisam confirmar ou falhar juntas.</w:t>
      </w:r>
    </w:p>
    <w:p>
      <w:bookmarkStart w:id="20" w:name="sec20"/>
      <w:pPr>
        <w:pStyle w:val="Heading2"/>
      </w:pPr>
      <w:r>
        <w:t>4.2 Contexto e concorrência</w:t>
      </w:r>
      <w:bookmarkEnd w:id="20"/>
    </w:p>
    <w:p>
      <w:pPr>
        <w:jc w:val="both"/>
      </w:pPr>
      <w:r>
        <w:t>O identificador da empresa acompanha as operações cobertas pela extensão Prisma. Registros filhos precisam respeitar a empresa de seus pais. A conclusão de um atendimento e as vendas exigem atenção a concorrência, repetição e estoque disponível. As políticas do banco dependem de sua aplicação e dos privilégios reais da conexão.</w:t>
      </w:r>
    </w:p>
    <w:p>
      <w:bookmarkStart w:id="21" w:name="sec21"/>
      <w:pPr>
        <w:pStyle w:val="Heading1"/>
      </w:pPr>
      <w:r>
        <w:t>5 SEGURANÇA E PRIVACIDADE</w:t>
      </w:r>
      <w:bookmarkEnd w:id="21"/>
    </w:p>
    <w:p>
      <w:pPr>
        <w:jc w:val="both"/>
      </w:pPr>
      <w:r>
        <w:t>O Nexly utiliza controles complementares na API, no navegador e na persistência. A presença desses controles não significa imunidade a falhas nem certificação de conformidade. Revisão de código, configuração do ambiente e monitoramento continuam necessários.</w:t>
      </w:r>
    </w:p>
    <w:p>
      <w:bookmarkStart w:id="22" w:name="sec22"/>
      <w:pPr>
        <w:pStyle w:val="Heading2"/>
      </w:pPr>
      <w:r>
        <w:t>5.1 Autenticação e sessões</w:t>
      </w:r>
      <w:bookmarkEnd w:id="22"/>
    </w:p>
    <w:p>
      <w:pPr>
        <w:jc w:val="both"/>
      </w:pPr>
      <w:r>
        <w:t>Senhas são verificadas com Argon2id. O backend assina access tokens com RSA e algoritmo RS256. A renovação utiliza refresh tokens e sessões persistidas, com rotação e tratamento de reutilização. O cookie de renovação é protegido por atributos definidos conforme ambiente e domínio.</w:t>
      </w:r>
    </w:p>
    <w:p>
      <w:pPr>
        <w:jc w:val="both"/>
      </w:pPr>
      <w:r>
        <w:t>Autenticação TOTP oferece segundo fator e códigos de recuperação. Segredos e tokens que precisam ser recuperados utilizam criptografia apropriada ao fluxo. As respostas cifradas de rotação e a fila de recuperação exigem tags AES-GCM de 16 bytes; testes rejeitam tags válidas truncadas. Não se deve registrar senhas, tokens, segredos TOTP ou chaves de provedores em logs e auditoria.</w:t>
      </w:r>
    </w:p>
    <w:p>
      <w:pPr>
        <w:jc w:val="both"/>
      </w:pPr>
      <w:r>
        <w:t>O login Google verifica assinatura, emissor, destinatário e validade do ID token. A vinculação a uma conta existente exige prova da conta local e segundo fator quando aplicável; coincidência de e-mail não autoriza associação silenciosa. Apple não deve ser anunciado como integrado sem implementação e configuração correspondentes.</w:t>
      </w:r>
    </w:p>
    <w:p>
      <w:bookmarkStart w:id="23" w:name="sec23"/>
      <w:pPr>
        <w:pStyle w:val="Heading2"/>
      </w:pPr>
      <w:r>
        <w:t>5.2 Autorização e empresas</w:t>
      </w:r>
      <w:bookmarkEnd w:id="23"/>
    </w:p>
    <w:p>
      <w:pPr>
        <w:jc w:val="both"/>
      </w:pPr>
      <w:r>
        <w:t>As permissões compartilhadas definem ADMIN, GESTOR, RECEPCIONISTA, PROFISSIONAL e CAIXA. A API é a autoridade de acesso; menu oculto não é uma barreira de segurança. Rotas e serviços também precisam verificar vínculos dos recursos solicitados com a empresa autenticada.</w:t>
      </w:r>
    </w:p>
    <w:p>
      <w:pPr>
        <w:jc w:val="both"/>
      </w:pPr>
      <w:r>
        <w:t>A extensão Prisma aplica escopo de empresa aos modelos e operações cobertos. Tabelas filhas utilizam relações com o registro principal. Caminhos públicos e trabalhos sem contexto precisam de filtros explícitos. Não aceite empresaId enviado pelo navegador como identidade confiável.</w:t>
      </w:r>
    </w:p>
    <w:p>
      <w:pPr>
        <w:jc w:val="both"/>
      </w:pPr>
      <w:r>
        <w:t>O projeto inclui políticas e migrações de proteção do PostgreSQL. RLS depende da política aplicada, do contexto de conexão e dos privilégios efetivos. Em instalações antigas, não execute indiscriminadamente seed-rls.sql: ele contém criação de políticas e pode conflitar com migrações já executadas. Inspecione o estado e use test-database-privacy.cjs em ambiente de teste autorizado.</w:t>
      </w:r>
    </w:p>
    <w:p>
      <w:bookmarkStart w:id="24" w:name="sec24"/>
      <w:pPr>
        <w:pStyle w:val="Heading2"/>
      </w:pPr>
      <w:r>
        <w:t>5.3 Fronteiras da API e navegador</w:t>
      </w:r>
      <w:bookmarkEnd w:id="24"/>
    </w:p>
    <w:p>
      <w:pPr>
        <w:keepNext/>
        <w:spacing w:line="240" w:lineRule="auto" w:before="120" w:after="120"/>
        <w:ind w:firstLine="0"/>
        <w:jc w:val="center"/>
      </w:pPr>
      <w:r>
        <w:rPr>
          <w:sz w:val="20"/>
        </w:rPr>
        <w:t>Quadro 4 – Controles de segurança</w:t>
      </w:r>
    </w:p>
    <w:tbl>
      <w:tblPr>
        <w:tblStyle w:val="TableGrid"/>
        <w:tblW w:type="auto" w:w="0"/>
        <w:tblLayout w:type="fixed"/>
        <w:tblLook w:firstColumn="1" w:firstRow="1" w:lastColumn="0" w:lastRow="0" w:noHBand="0" w:noVBand="1" w:val="04A0"/>
      </w:tblPr>
      <w:tblGrid>
        <w:gridCol w:w="2540"/>
        <w:gridCol w:w="6531"/>
      </w:tblGrid>
      <w:tr>
        <w:trPr>
          <w:tblHeader/>
          <w:cantSplit/>
        </w:trPr>
        <w:tc>
          <w:tcPr>
            <w:tcW w:type="dxa" w:w="2540"/>
          </w:tcPr>
          <w:p>
            <w:pPr>
              <w:spacing w:line="240" w:lineRule="auto" w:after="100" w:before="100"/>
              <w:ind w:firstLine="0"/>
            </w:pPr>
            <w:r>
              <w:rPr>
                <w:b/>
                <w:sz w:val="20"/>
              </w:rPr>
              <w:t>Controle</w:t>
            </w:r>
          </w:p>
        </w:tc>
        <w:tc>
          <w:tcPr>
            <w:tcW w:type="dxa" w:w="6531"/>
          </w:tcPr>
          <w:p>
            <w:pPr>
              <w:spacing w:line="240" w:lineRule="auto" w:after="100" w:before="100"/>
              <w:ind w:firstLine="0"/>
            </w:pPr>
            <w:r>
              <w:rPr>
                <w:b/>
                <w:sz w:val="20"/>
              </w:rPr>
              <w:t>Aplicação</w:t>
            </w:r>
          </w:p>
        </w:tc>
      </w:tr>
      <w:tr>
        <w:trPr>
          <w:cantSplit/>
        </w:trPr>
        <w:tc>
          <w:tcPr>
            <w:tcW w:type="dxa" w:w="2540"/>
          </w:tcPr>
          <w:p>
            <w:pPr>
              <w:spacing w:line="240" w:lineRule="auto" w:after="100" w:before="100"/>
              <w:ind w:firstLine="0"/>
            </w:pPr>
            <w:r>
              <w:rPr>
                <w:b w:val="0"/>
                <w:sz w:val="20"/>
              </w:rPr>
              <w:t>Validação</w:t>
            </w:r>
          </w:p>
        </w:tc>
        <w:tc>
          <w:tcPr>
            <w:tcW w:type="dxa" w:w="6531"/>
          </w:tcPr>
          <w:p>
            <w:pPr>
              <w:spacing w:line="240" w:lineRule="auto" w:after="100" w:before="100"/>
              <w:ind w:firstLine="0"/>
            </w:pPr>
            <w:r>
              <w:rPr>
                <w:b w:val="0"/>
                <w:sz w:val="20"/>
              </w:rPr>
              <w:t>DTOs e schemas restringem formato, conteúdo e limites das entradas.</w:t>
            </w:r>
          </w:p>
        </w:tc>
      </w:tr>
      <w:tr>
        <w:trPr>
          <w:cantSplit/>
        </w:trPr>
        <w:tc>
          <w:tcPr>
            <w:tcW w:type="dxa" w:w="2540"/>
          </w:tcPr>
          <w:p>
            <w:pPr>
              <w:spacing w:line="240" w:lineRule="auto" w:after="100" w:before="100"/>
              <w:ind w:firstLine="0"/>
            </w:pPr>
            <w:r>
              <w:rPr>
                <w:b w:val="0"/>
                <w:sz w:val="20"/>
              </w:rPr>
              <w:t>Consultas</w:t>
            </w:r>
          </w:p>
        </w:tc>
        <w:tc>
          <w:tcPr>
            <w:tcW w:type="dxa" w:w="6531"/>
          </w:tcPr>
          <w:p>
            <w:pPr>
              <w:spacing w:line="240" w:lineRule="auto" w:after="100" w:before="100"/>
              <w:ind w:firstLine="0"/>
            </w:pPr>
            <w:r>
              <w:rPr>
                <w:b w:val="0"/>
                <w:sz w:val="20"/>
              </w:rPr>
              <w:t>Prisma e parâmetros evitam montar SQL com entrada do usuário; lint restringe chamadas inseguras.</w:t>
            </w:r>
          </w:p>
        </w:tc>
      </w:tr>
      <w:tr>
        <w:trPr>
          <w:cantSplit/>
        </w:trPr>
        <w:tc>
          <w:tcPr>
            <w:tcW w:type="dxa" w:w="2540"/>
          </w:tcPr>
          <w:p>
            <w:pPr>
              <w:spacing w:line="240" w:lineRule="auto" w:after="100" w:before="100"/>
              <w:ind w:firstLine="0"/>
            </w:pPr>
            <w:r>
              <w:rPr>
                <w:b w:val="0"/>
                <w:sz w:val="20"/>
              </w:rPr>
              <w:t>Cotas</w:t>
            </w:r>
          </w:p>
        </w:tc>
        <w:tc>
          <w:tcPr>
            <w:tcW w:type="dxa" w:w="6531"/>
          </w:tcPr>
          <w:p>
            <w:pPr>
              <w:spacing w:line="240" w:lineRule="auto" w:after="100" w:before="100"/>
              <w:ind w:firstLine="0"/>
            </w:pPr>
            <w:r>
              <w:rPr>
                <w:b w:val="0"/>
                <w:sz w:val="20"/>
              </w:rPr>
              <w:t>Redis coordena limites distribuídos de autenticação e operações sensíveis.</w:t>
            </w:r>
          </w:p>
        </w:tc>
      </w:tr>
      <w:tr>
        <w:trPr>
          <w:cantSplit/>
        </w:trPr>
        <w:tc>
          <w:tcPr>
            <w:tcW w:type="dxa" w:w="2540"/>
          </w:tcPr>
          <w:p>
            <w:pPr>
              <w:spacing w:line="240" w:lineRule="auto" w:after="100" w:before="100"/>
              <w:ind w:firstLine="0"/>
            </w:pPr>
            <w:r>
              <w:rPr>
                <w:b w:val="0"/>
                <w:sz w:val="20"/>
              </w:rPr>
              <w:t>Origem</w:t>
            </w:r>
          </w:p>
        </w:tc>
        <w:tc>
          <w:tcPr>
            <w:tcW w:type="dxa" w:w="6531"/>
          </w:tcPr>
          <w:p>
            <w:pPr>
              <w:spacing w:line="240" w:lineRule="auto" w:after="100" w:before="100"/>
              <w:ind w:firstLine="0"/>
            </w:pPr>
            <w:r>
              <w:rPr>
                <w:b w:val="0"/>
                <w:sz w:val="20"/>
              </w:rPr>
              <w:t>CORS e verificações de origem restringem chamadas de navegador e fluxos sensíveis.</w:t>
            </w:r>
          </w:p>
        </w:tc>
      </w:tr>
      <w:tr>
        <w:trPr>
          <w:cantSplit/>
        </w:trPr>
        <w:tc>
          <w:tcPr>
            <w:tcW w:type="dxa" w:w="2540"/>
          </w:tcPr>
          <w:p>
            <w:pPr>
              <w:spacing w:line="240" w:lineRule="auto" w:after="100" w:before="100"/>
              <w:ind w:firstLine="0"/>
            </w:pPr>
            <w:r>
              <w:rPr>
                <w:b w:val="0"/>
                <w:sz w:val="20"/>
              </w:rPr>
              <w:t>Cabeçalhos</w:t>
            </w:r>
          </w:p>
        </w:tc>
        <w:tc>
          <w:tcPr>
            <w:tcW w:type="dxa" w:w="6531"/>
          </w:tcPr>
          <w:p>
            <w:pPr>
              <w:spacing w:line="240" w:lineRule="auto" w:after="100" w:before="100"/>
              <w:ind w:firstLine="0"/>
            </w:pPr>
            <w:r>
              <w:rPr>
                <w:b w:val="0"/>
                <w:sz w:val="20"/>
              </w:rPr>
              <w:t>Helmet, CSP, HSTS e políticas do navegador reduzem exposição conforme ambiente.</w:t>
            </w:r>
          </w:p>
        </w:tc>
      </w:tr>
      <w:tr>
        <w:trPr>
          <w:cantSplit/>
        </w:trPr>
        <w:tc>
          <w:tcPr>
            <w:tcW w:type="dxa" w:w="2540"/>
          </w:tcPr>
          <w:p>
            <w:pPr>
              <w:spacing w:line="240" w:lineRule="auto" w:after="100" w:before="100"/>
              <w:ind w:firstLine="0"/>
            </w:pPr>
            <w:r>
              <w:rPr>
                <w:b w:val="0"/>
                <w:sz w:val="20"/>
              </w:rPr>
              <w:t>Auditoria</w:t>
            </w:r>
          </w:p>
        </w:tc>
        <w:tc>
          <w:tcPr>
            <w:tcW w:type="dxa" w:w="6531"/>
          </w:tcPr>
          <w:p>
            <w:pPr>
              <w:spacing w:line="240" w:lineRule="auto" w:after="100" w:before="100"/>
              <w:ind w:firstLine="0"/>
            </w:pPr>
            <w:r>
              <w:rPr>
                <w:b w:val="0"/>
                <w:sz w:val="20"/>
              </w:rPr>
              <w:t>Registra ações e diferenças com redação de campos sensíveis.</w:t>
            </w:r>
          </w:p>
        </w:tc>
      </w:tr>
      <w:tr>
        <w:trPr>
          <w:cantSplit/>
        </w:trPr>
        <w:tc>
          <w:tcPr>
            <w:tcW w:type="dxa" w:w="2540"/>
          </w:tcPr>
          <w:p>
            <w:pPr>
              <w:spacing w:line="240" w:lineRule="auto" w:after="100" w:before="100"/>
              <w:ind w:firstLine="0"/>
            </w:pPr>
            <w:r>
              <w:rPr>
                <w:b w:val="0"/>
                <w:sz w:val="20"/>
              </w:rPr>
              <w:t>Serialização</w:t>
            </w:r>
          </w:p>
        </w:tc>
        <w:tc>
          <w:tcPr>
            <w:tcW w:type="dxa" w:w="6531"/>
          </w:tcPr>
          <w:p>
            <w:pPr>
              <w:spacing w:line="240" w:lineRule="auto" w:after="100" w:before="100"/>
              <w:ind w:firstLine="0"/>
            </w:pPr>
            <w:r>
              <w:rPr>
                <w:b w:val="0"/>
                <w:sz w:val="20"/>
              </w:rPr>
              <w:t>Remove campos de credenciais das respostas cobertas pelo interceptor.</w:t>
            </w:r>
          </w:p>
        </w:tc>
      </w:tr>
      <w:tr>
        <w:trPr>
          <w:cantSplit/>
        </w:trPr>
        <w:tc>
          <w:tcPr>
            <w:tcW w:type="dxa" w:w="2540"/>
          </w:tcPr>
          <w:p>
            <w:pPr>
              <w:spacing w:line="240" w:lineRule="auto" w:after="100" w:before="100"/>
              <w:ind w:firstLine="0"/>
            </w:pPr>
            <w:r>
              <w:rPr>
                <w:b w:val="0"/>
                <w:sz w:val="20"/>
              </w:rPr>
              <w:t>Exportação</w:t>
            </w:r>
          </w:p>
        </w:tc>
        <w:tc>
          <w:tcPr>
            <w:tcW w:type="dxa" w:w="6531"/>
          </w:tcPr>
          <w:p>
            <w:pPr>
              <w:spacing w:line="240" w:lineRule="auto" w:after="100" w:before="100"/>
              <w:ind w:firstLine="0"/>
            </w:pPr>
            <w:r>
              <w:rPr>
                <w:b w:val="0"/>
                <w:sz w:val="20"/>
              </w:rPr>
              <w:t>Permissão, empresa e cotas limitam extração de dados.</w:t>
            </w:r>
          </w:p>
        </w:tc>
      </w:tr>
      <w:tr>
        <w:trPr>
          <w:cantSplit/>
        </w:trPr>
        <w:tc>
          <w:tcPr>
            <w:tcW w:type="dxa" w:w="2540"/>
          </w:tcPr>
          <w:p>
            <w:pPr>
              <w:keepNext/>
              <w:spacing w:line="240" w:lineRule="auto" w:after="100" w:before="100"/>
              <w:ind w:firstLine="0"/>
            </w:pPr>
            <w:r>
              <w:rPr>
                <w:b w:val="0"/>
                <w:sz w:val="20"/>
              </w:rPr>
              <w:t>Stripe</w:t>
            </w:r>
          </w:p>
        </w:tc>
        <w:tc>
          <w:tcPr>
            <w:tcW w:type="dxa" w:w="6531"/>
          </w:tcPr>
          <w:p>
            <w:pPr>
              <w:keepNext/>
              <w:spacing w:line="240" w:lineRule="auto" w:after="100" w:before="100"/>
              <w:ind w:firstLine="0"/>
            </w:pPr>
            <w:r>
              <w:rPr>
                <w:b w:val="0"/>
                <w:sz w:val="20"/>
              </w:rPr>
              <w:t>Assinatura do webhook, modo do ambiente, idempotência e reconciliação protegem a mudança de plano.</w:t>
            </w:r>
          </w:p>
        </w:tc>
      </w:tr>
    </w:tbl>
    <w:p>
      <w:pPr>
        <w:spacing w:line="240" w:lineRule="auto"/>
        <w:ind w:firstLine="0"/>
        <w:jc w:val="center"/>
      </w:pPr>
      <w:r>
        <w:rPr>
          <w:sz w:val="20"/>
        </w:rPr>
        <w:t>Fonte: elaboração dos autores com base no código do Nexly (2026).</w:t>
      </w:r>
    </w:p>
    <w:p>
      <w:bookmarkStart w:id="25" w:name="sec25"/>
      <w:pPr>
        <w:pStyle w:val="Heading2"/>
      </w:pPr>
      <w:r>
        <w:t>5.4 Privacidade e dados pessoais</w:t>
      </w:r>
      <w:bookmarkEnd w:id="25"/>
    </w:p>
    <w:p>
      <w:pPr>
        <w:jc w:val="both"/>
      </w:pPr>
      <w:r>
        <w:t>O sistema oferece caminhos relacionados a exportação e solicitação de tratamento de dados. E-mails automáticos dependem de provedor ativo. Atendimento ao titular, base legal, retenção e obrigações do responsável pelo serviço exigem decisões operacionais e jurídicas; a implementação isolada não comprova conformidade integral com a LGPD.</w:t>
      </w:r>
    </w:p>
    <w:p>
      <w:pPr>
        <w:jc w:val="both"/>
      </w:pPr>
      <w:r>
        <w:t>Capturas públicas desta revisão usam respostas fictícias e são identificadas como demonstração. Nenhum teste deve publicar um depoimento inventado ou exportação de dados reais como material de marketing.</w:t>
      </w:r>
    </w:p>
    <w:p>
      <w:bookmarkStart w:id="26" w:name="sec26"/>
      <w:pPr>
        <w:pStyle w:val="Heading2"/>
      </w:pPr>
      <w:r>
        <w:t>5.5 Segredos e resposta a incidentes</w:t>
      </w:r>
      <w:bookmarkEnd w:id="26"/>
    </w:p>
    <w:p>
      <w:pPr>
        <w:jc w:val="both"/>
      </w:pPr>
      <w:r>
        <w:t>Mantenha segredos no ambiente do backend ou no gerenciador da plataforma. Variáveis NEXT_PUBLIC_* são públicas no frontend. Não envie chaves ao chat, issues, commits ou documentos. Registre somente nomes de variáveis, finalidade e procedimento de troca.</w:t>
      </w:r>
    </w:p>
    <w:p>
      <w:pPr>
        <w:jc w:val="both"/>
      </w:pPr>
      <w:r>
        <w:t>Se um segredo tiver sido exposto, removê-lo do arquivo atual não o revoga. Substitua-o no provedor, atualize os consumidores, verifique o funcionamento e revogue a credencial anterior segundo a urgência do incidente. Tokens de sessão e chaves de assinatura exigem avaliar invalidação de acessos e continuidade do serviço. O procedimento operacional está em Operação.</w:t>
      </w:r>
    </w:p>
    <w:p>
      <w:bookmarkStart w:id="27" w:name="sec27"/>
      <w:pPr>
        <w:pStyle w:val="Heading2"/>
      </w:pPr>
      <w:r>
        <w:t>5.6 Verificações e limitações</w:t>
      </w:r>
      <w:bookmarkEnd w:id="27"/>
    </w:p>
    <w:p>
      <w:pPr>
        <w:jc w:val="both"/>
      </w:pPr>
      <w:r>
        <w:t>O workflow de segurança executa gitleaks, audit de dependências e Semgrep. ZAP exige alvo informado e autorização de teste; não declarar que foi executado quando o job foi pulado. Auditar dependências de produção e ferramentas de desenvolvimento são verificações diferentes.</w:t>
      </w:r>
    </w:p>
    <w:p>
      <w:pPr>
        <w:jc w:val="both"/>
      </w:pPr>
      <w:r>
        <w:t>Na verificação de 22/10/2026, a auditoria de produção retornou zero vulnerabilidades. O CI de ferramentas apontou braces, transitivo do conjunto Tailwind/ESLint, com aviso sem versão corrigida naquela consulta. O resultado é datado e pode mudar. Não foi aplicado audit fix --force nem reduzida a exigência do workflow para esconder o alerta.</w:t>
      </w:r>
    </w:p>
    <w:p>
      <w:bookmarkStart w:id="28" w:name="sec28"/>
      <w:pPr>
        <w:pStyle w:val="Heading1"/>
      </w:pPr>
      <w:r>
        <w:t>6 DESENVOLVIMENTO E INSTALAÇÃO</w:t>
      </w:r>
      <w:bookmarkEnd w:id="28"/>
    </w:p>
    <w:p>
      <w:bookmarkStart w:id="29" w:name="sec29"/>
      <w:pPr>
        <w:pStyle w:val="Heading2"/>
      </w:pPr>
      <w:r>
        <w:t>6.1 Pré-requisitos</w:t>
      </w:r>
      <w:bookmarkEnd w:id="29"/>
    </w:p>
    <w:p>
      <w:pPr>
        <w:jc w:val="both"/>
      </w:pPr>
      <w:r>
        <w:t>Utilize Node.js da versão indicada em .nvmrc, npm compatível com package.json, Git e PostgreSQL/Redis locais. Docker Compose pode fornecer os dois serviços sem instalar os bancos diretamente no sistema.</w:t>
      </w:r>
    </w:p>
    <w:p>
      <w:pPr>
        <w:jc w:val="both"/>
      </w:pPr>
      <w:r>
        <w:t>Os comandos abaixo partem da raiz do repositório. Não use credenciais de produção para experimentar seeds, migrações de desenvolvimento ou testes.</w:t>
      </w:r>
    </w:p>
    <w:p>
      <w:bookmarkStart w:id="30" w:name="sec30"/>
      <w:pPr>
        <w:pStyle w:val="Heading2"/>
      </w:pPr>
      <w:r>
        <w:t>6.2 Preparar o ambiente</w:t>
      </w:r>
      <w:bookmarkEnd w:id="30"/>
    </w:p>
    <w:p>
      <w:pPr>
        <w:spacing w:line="240" w:lineRule="auto"/>
        <w:ind w:firstLine="0"/>
      </w:pPr>
      <w:r>
        <w:rPr>
          <w:rFonts w:ascii="Consolas" w:hAnsi="Consolas"/>
          <w:sz w:val="18"/>
        </w:rPr>
        <w:t>npm ci</w:t>
      </w:r>
    </w:p>
    <w:p>
      <w:pPr>
        <w:spacing w:line="240" w:lineRule="auto"/>
        <w:ind w:firstLine="0"/>
      </w:pPr>
      <w:r>
        <w:rPr>
          <w:rFonts w:ascii="Consolas" w:hAnsi="Consolas"/>
          <w:sz w:val="18"/>
        </w:rPr>
        <w:t>docker compose up -d postgres redis</w:t>
      </w:r>
    </w:p>
    <w:p>
      <w:pPr>
        <w:jc w:val="both"/>
      </w:pPr>
      <w:r>
        <w:t>Copie os exemplos sem sobrescrever arquivos já configurados:</w:t>
      </w:r>
    </w:p>
    <w:p>
      <w:pPr>
        <w:spacing w:line="240" w:lineRule="auto"/>
        <w:ind w:firstLine="0"/>
      </w:pPr>
      <w:r>
        <w:rPr>
          <w:rFonts w:ascii="Consolas" w:hAnsi="Consolas"/>
          <w:sz w:val="18"/>
        </w:rPr>
        <w:t>cp .env.example .env</w:t>
      </w:r>
    </w:p>
    <w:p>
      <w:pPr>
        <w:spacing w:line="240" w:lineRule="auto"/>
        <w:ind w:firstLine="0"/>
      </w:pPr>
      <w:r>
        <w:rPr>
          <w:rFonts w:ascii="Consolas" w:hAnsi="Consolas"/>
          <w:sz w:val="18"/>
        </w:rPr>
        <w:t>cp apps/api/.env.example apps/api/.env</w:t>
      </w:r>
    </w:p>
    <w:p>
      <w:pPr>
        <w:spacing w:line="240" w:lineRule="auto"/>
        <w:ind w:firstLine="0"/>
      </w:pPr>
      <w:r>
        <w:rPr>
          <w:rFonts w:ascii="Consolas" w:hAnsi="Consolas"/>
          <w:sz w:val="18"/>
        </w:rPr>
        <w:t>cp apps/web/.env.example apps/web/.env</w:t>
      </w:r>
    </w:p>
    <w:p>
      <w:pPr>
        <w:jc w:val="both"/>
      </w:pPr>
      <w:r>
        <w:t>No PowerShell, use Copy-Item no lugar de cp se necessário. Verifique antes se o destino já existe. Os exemplos utilizam credenciais públicas de desenvolvimento; configure o banco local antes de iniciar.</w:t>
      </w:r>
    </w:p>
    <w:p>
      <w:pPr>
        <w:keepNext/>
        <w:spacing w:line="240" w:lineRule="auto" w:before="120" w:after="120"/>
        <w:ind w:firstLine="0"/>
        <w:jc w:val="center"/>
      </w:pPr>
      <w:r>
        <w:rPr>
          <w:sz w:val="20"/>
        </w:rPr>
        <w:t>Quadro 5 – Arquivos de configuração</w:t>
      </w:r>
    </w:p>
    <w:tbl>
      <w:tblPr>
        <w:tblStyle w:val="TableGrid"/>
        <w:tblW w:type="auto" w:w="0"/>
        <w:tblLayout w:type="fixed"/>
        <w:tblLook w:firstColumn="1" w:firstRow="1" w:lastColumn="0" w:lastRow="0" w:noHBand="0" w:noVBand="1" w:val="04A0"/>
      </w:tblPr>
      <w:tblGrid>
        <w:gridCol w:w="2540"/>
        <w:gridCol w:w="6531"/>
      </w:tblGrid>
      <w:tr>
        <w:trPr>
          <w:tblHeader/>
          <w:cantSplit/>
        </w:trPr>
        <w:tc>
          <w:tcPr>
            <w:tcW w:type="dxa" w:w="2540"/>
          </w:tcPr>
          <w:p>
            <w:pPr>
              <w:spacing w:line="240" w:lineRule="auto" w:after="100" w:before="100"/>
              <w:ind w:firstLine="0"/>
            </w:pPr>
            <w:r>
              <w:rPr>
                <w:b/>
                <w:sz w:val="20"/>
              </w:rPr>
              <w:t>Arquivo</w:t>
            </w:r>
          </w:p>
        </w:tc>
        <w:tc>
          <w:tcPr>
            <w:tcW w:type="dxa" w:w="6531"/>
          </w:tcPr>
          <w:p>
            <w:pPr>
              <w:spacing w:line="240" w:lineRule="auto" w:after="100" w:before="100"/>
              <w:ind w:firstLine="0"/>
            </w:pPr>
            <w:r>
              <w:rPr>
                <w:b/>
                <w:sz w:val="20"/>
              </w:rPr>
              <w:t>Campos principais</w:t>
            </w:r>
          </w:p>
        </w:tc>
      </w:tr>
      <w:tr>
        <w:trPr>
          <w:cantSplit/>
        </w:trPr>
        <w:tc>
          <w:tcPr>
            <w:tcW w:type="dxa" w:w="2540"/>
          </w:tcPr>
          <w:p>
            <w:pPr>
              <w:spacing w:line="240" w:lineRule="auto" w:after="100" w:before="100"/>
              <w:ind w:firstLine="0"/>
            </w:pPr>
            <w:r>
              <w:rPr>
                <w:b w:val="0"/>
                <w:sz w:val="20"/>
              </w:rPr>
              <w:t>.env</w:t>
            </w:r>
          </w:p>
        </w:tc>
        <w:tc>
          <w:tcPr>
            <w:tcW w:type="dxa" w:w="6531"/>
          </w:tcPr>
          <w:p>
            <w:pPr>
              <w:spacing w:line="240" w:lineRule="auto" w:after="100" w:before="100"/>
              <w:ind w:firstLine="0"/>
            </w:pPr>
            <w:r>
              <w:rPr>
                <w:b w:val="0"/>
                <w:sz w:val="20"/>
              </w:rPr>
              <w:t>Portas e credenciais usadas pelo Docker Compose.</w:t>
            </w:r>
          </w:p>
        </w:tc>
      </w:tr>
      <w:tr>
        <w:trPr>
          <w:cantSplit/>
        </w:trPr>
        <w:tc>
          <w:tcPr>
            <w:tcW w:type="dxa" w:w="2540"/>
          </w:tcPr>
          <w:p>
            <w:pPr>
              <w:spacing w:line="240" w:lineRule="auto" w:after="100" w:before="100"/>
              <w:ind w:firstLine="0"/>
            </w:pPr>
            <w:r>
              <w:rPr>
                <w:b w:val="0"/>
                <w:sz w:val="20"/>
              </w:rPr>
              <w:t>apps/api/.env</w:t>
            </w:r>
          </w:p>
        </w:tc>
        <w:tc>
          <w:tcPr>
            <w:tcW w:type="dxa" w:w="6531"/>
          </w:tcPr>
          <w:p>
            <w:pPr>
              <w:spacing w:line="240" w:lineRule="auto" w:after="100" w:before="100"/>
              <w:ind w:firstLine="0"/>
            </w:pPr>
            <w:r>
              <w:rPr>
                <w:b w:val="0"/>
                <w:sz w:val="20"/>
              </w:rPr>
              <w:t>DATABASE_URL, DIRECT_URL, REDIS_URL, CORS_ORIGIN e opções do backend.</w:t>
            </w:r>
          </w:p>
        </w:tc>
      </w:tr>
      <w:tr>
        <w:trPr>
          <w:cantSplit/>
        </w:trPr>
        <w:tc>
          <w:tcPr>
            <w:tcW w:type="dxa" w:w="2540"/>
          </w:tcPr>
          <w:p>
            <w:pPr>
              <w:keepNext/>
              <w:spacing w:line="240" w:lineRule="auto" w:after="100" w:before="100"/>
              <w:ind w:firstLine="0"/>
            </w:pPr>
            <w:r>
              <w:rPr>
                <w:b w:val="0"/>
                <w:sz w:val="20"/>
              </w:rPr>
              <w:t>apps/web/.env</w:t>
            </w:r>
          </w:p>
        </w:tc>
        <w:tc>
          <w:tcPr>
            <w:tcW w:type="dxa" w:w="6531"/>
          </w:tcPr>
          <w:p>
            <w:pPr>
              <w:keepNext/>
              <w:spacing w:line="240" w:lineRule="auto" w:after="100" w:before="100"/>
              <w:ind w:firstLine="0"/>
            </w:pPr>
            <w:r>
              <w:rPr>
                <w:b w:val="0"/>
                <w:sz w:val="20"/>
              </w:rPr>
              <w:t>NEXT_PUBLIC_API_URL e NEXT_PUBLIC_SITE_URL.</w:t>
            </w:r>
          </w:p>
        </w:tc>
      </w:tr>
    </w:tbl>
    <w:p>
      <w:pPr>
        <w:spacing w:line="240" w:lineRule="auto"/>
        <w:ind w:firstLine="0"/>
        <w:jc w:val="center"/>
      </w:pPr>
      <w:r>
        <w:rPr>
          <w:sz w:val="20"/>
        </w:rPr>
        <w:t>Fonte: elaboração dos autores com base no código do Nexly (2026).</w:t>
      </w:r>
    </w:p>
    <w:p>
      <w:pPr>
        <w:jc w:val="both"/>
      </w:pPr>
      <w:r>
        <w:t>No desenvolvimento nativo, frontend usa http://localhost:3002, API usa http://localhost:3001 e o prefixo REST é /api. O container web escuta internamente na porta 3000; o mapeamento externo usa WEB_PORT. O host presente na URL deve coincidir com CORS e configurações das integrações.</w:t>
      </w:r>
    </w:p>
    <w:p>
      <w:pPr>
        <w:jc w:val="both"/>
      </w:pPr>
      <w:r>
        <w:t>DIRECT_URL aponta para conexão direta de migração. Em desenvolvimento pode usar o mesmo banco de DATABASE_URL; em hospedagens com pool de conexões as URLs podem ser diferentes. Senhas com caracteres reservados precisam de codificação adequada na URL.</w:t>
      </w:r>
    </w:p>
    <w:p>
      <w:bookmarkStart w:id="31" w:name="sec31"/>
      <w:pPr>
        <w:pStyle w:val="Heading2"/>
      </w:pPr>
      <w:r>
        <w:t>6.3 Preparar o banco e iniciar</w:t>
      </w:r>
      <w:bookmarkEnd w:id="31"/>
    </w:p>
    <w:p>
      <w:pPr>
        <w:spacing w:line="240" w:lineRule="auto"/>
        <w:ind w:firstLine="0"/>
      </w:pPr>
      <w:r>
        <w:rPr>
          <w:rFonts w:ascii="Consolas" w:hAnsi="Consolas"/>
          <w:sz w:val="18"/>
        </w:rPr>
        <w:t>npm run build --workspace @nexly/shared</w:t>
      </w:r>
    </w:p>
    <w:p>
      <w:pPr>
        <w:spacing w:line="240" w:lineRule="auto"/>
        <w:ind w:firstLine="0"/>
      </w:pPr>
      <w:r>
        <w:rPr>
          <w:rFonts w:ascii="Consolas" w:hAnsi="Consolas"/>
          <w:sz w:val="18"/>
        </w:rPr>
        <w:t>npx prisma generate --schema apps/api/prisma/schema.prisma</w:t>
      </w:r>
    </w:p>
    <w:p>
      <w:pPr>
        <w:spacing w:line="240" w:lineRule="auto"/>
        <w:ind w:firstLine="0"/>
      </w:pPr>
      <w:r>
        <w:rPr>
          <w:rFonts w:ascii="Consolas" w:hAnsi="Consolas"/>
          <w:sz w:val="18"/>
        </w:rPr>
        <w:t>npm run db:migrate --workspace @nexly/api</w:t>
      </w:r>
    </w:p>
    <w:p>
      <w:pPr>
        <w:spacing w:line="240" w:lineRule="auto"/>
        <w:ind w:firstLine="0"/>
      </w:pPr>
      <w:r>
        <w:rPr>
          <w:rFonts w:ascii="Consolas" w:hAnsi="Consolas"/>
          <w:sz w:val="18"/>
        </w:rPr>
        <w:t>npm run dev</w:t>
      </w:r>
    </w:p>
    <w:p>
      <w:pPr>
        <w:jc w:val="both"/>
      </w:pPr>
      <w:r>
        <w:t>O comando db:migrate da API aplica migrações existentes. Para criar uma migração durante alteração de schema, use npm run db:migrate:dev --workspace @nexly/api. Não apague migrações já aplicadas para resolver divergências.</w:t>
      </w:r>
    </w:p>
    <w:p>
      <w:pPr>
        <w:jc w:val="both"/>
      </w:pPr>
      <w:r>
        <w:t>O banco de exemplo é opcional:</w:t>
      </w:r>
    </w:p>
    <w:p>
      <w:pPr>
        <w:spacing w:line="240" w:lineRule="auto"/>
        <w:ind w:firstLine="0"/>
      </w:pPr>
      <w:r>
        <w:rPr>
          <w:rFonts w:ascii="Consolas" w:hAnsi="Consolas"/>
          <w:sz w:val="18"/>
        </w:rPr>
        <w:t>npm run db:seed</w:t>
      </w:r>
    </w:p>
    <w:p>
      <w:pPr>
        <w:jc w:val="both"/>
      </w:pPr>
      <w:r>
        <w:t>O seed cria dados fictícios e a conta admin@nexly.com.br com senha pública nexly123. Execute somente em banco local descartável. Essa conta não é credencial de administração de produção.</w:t>
      </w:r>
    </w:p>
    <w:p>
      <w:pPr>
        <w:jc w:val="both"/>
      </w:pPr>
      <w:r>
        <w:t>Em desenvolvimento, a API gera um par RSA temporário quando as chaves JWT não foram configuradas. Reiniciar nessa condição invalida a continuidade dos tokens. Em produção as chaves são obrigatórias; o script generate-jwt-keys.sh auxilia a geração. Nunca versione os arquivos privados.</w:t>
      </w:r>
    </w:p>
    <w:p>
      <w:bookmarkStart w:id="32" w:name="sec32"/>
      <w:pPr>
        <w:pStyle w:val="Heading2"/>
      </w:pPr>
      <w:r>
        <w:t>6.4 Endereços</w:t>
      </w:r>
      <w:bookmarkEnd w:id="32"/>
    </w:p>
    <w:p>
      <w:pPr>
        <w:keepNext/>
        <w:spacing w:line="240" w:lineRule="auto" w:before="120" w:after="120"/>
        <w:ind w:firstLine="0"/>
        <w:jc w:val="center"/>
      </w:pPr>
      <w:r>
        <w:rPr>
          <w:sz w:val="20"/>
        </w:rPr>
        <w:t>Quadro 6 – Endereços de desenvolvimento</w:t>
      </w:r>
    </w:p>
    <w:tbl>
      <w:tblPr>
        <w:tblStyle w:val="TableGrid"/>
        <w:tblW w:type="auto" w:w="0"/>
        <w:tblLayout w:type="fixed"/>
        <w:tblLook w:firstColumn="1" w:firstRow="1" w:lastColumn="0" w:lastRow="0" w:noHBand="0" w:noVBand="1" w:val="04A0"/>
      </w:tblPr>
      <w:tblGrid>
        <w:gridCol w:w="2540"/>
        <w:gridCol w:w="6531"/>
      </w:tblGrid>
      <w:tr>
        <w:trPr>
          <w:tblHeader/>
          <w:cantSplit/>
        </w:trPr>
        <w:tc>
          <w:tcPr>
            <w:tcW w:type="dxa" w:w="2540"/>
          </w:tcPr>
          <w:p>
            <w:pPr>
              <w:spacing w:line="240" w:lineRule="auto" w:after="100" w:before="100"/>
              <w:ind w:firstLine="0"/>
            </w:pPr>
            <w:r>
              <w:rPr>
                <w:b/>
                <w:sz w:val="20"/>
              </w:rPr>
              <w:t>Recurso</w:t>
            </w:r>
          </w:p>
        </w:tc>
        <w:tc>
          <w:tcPr>
            <w:tcW w:type="dxa" w:w="6531"/>
          </w:tcPr>
          <w:p>
            <w:pPr>
              <w:spacing w:line="240" w:lineRule="auto" w:after="100" w:before="100"/>
              <w:ind w:firstLine="0"/>
            </w:pPr>
            <w:r>
              <w:rPr>
                <w:b/>
                <w:sz w:val="20"/>
              </w:rPr>
              <w:t>Endereço local</w:t>
            </w:r>
          </w:p>
        </w:tc>
      </w:tr>
      <w:tr>
        <w:trPr>
          <w:cantSplit/>
        </w:trPr>
        <w:tc>
          <w:tcPr>
            <w:tcW w:type="dxa" w:w="2540"/>
          </w:tcPr>
          <w:p>
            <w:pPr>
              <w:spacing w:line="240" w:lineRule="auto" w:after="100" w:before="100"/>
              <w:ind w:firstLine="0"/>
            </w:pPr>
            <w:r>
              <w:rPr>
                <w:b w:val="0"/>
                <w:sz w:val="20"/>
              </w:rPr>
              <w:t>Aplicação</w:t>
            </w:r>
          </w:p>
        </w:tc>
        <w:tc>
          <w:tcPr>
            <w:tcW w:type="dxa" w:w="6531"/>
          </w:tcPr>
          <w:p>
            <w:pPr>
              <w:spacing w:line="240" w:lineRule="auto" w:after="100" w:before="100"/>
              <w:ind w:firstLine="0"/>
            </w:pPr>
            <w:r>
              <w:rPr>
                <w:b w:val="0"/>
                <w:sz w:val="20"/>
              </w:rPr>
              <w:t>&lt;http://localhost:3002&gt;</w:t>
            </w:r>
          </w:p>
        </w:tc>
      </w:tr>
      <w:tr>
        <w:trPr>
          <w:cantSplit/>
        </w:trPr>
        <w:tc>
          <w:tcPr>
            <w:tcW w:type="dxa" w:w="2540"/>
          </w:tcPr>
          <w:p>
            <w:pPr>
              <w:spacing w:line="240" w:lineRule="auto" w:after="100" w:before="100"/>
              <w:ind w:firstLine="0"/>
            </w:pPr>
            <w:r>
              <w:rPr>
                <w:b w:val="0"/>
                <w:sz w:val="20"/>
              </w:rPr>
              <w:t>Saúde básica</w:t>
            </w:r>
          </w:p>
        </w:tc>
        <w:tc>
          <w:tcPr>
            <w:tcW w:type="dxa" w:w="6531"/>
          </w:tcPr>
          <w:p>
            <w:pPr>
              <w:spacing w:line="240" w:lineRule="auto" w:after="100" w:before="100"/>
              <w:ind w:firstLine="0"/>
            </w:pPr>
            <w:r>
              <w:rPr>
                <w:b w:val="0"/>
                <w:sz w:val="20"/>
              </w:rPr>
              <w:t>&lt;http://localhost:3001/api/health&gt;</w:t>
            </w:r>
          </w:p>
        </w:tc>
      </w:tr>
      <w:tr>
        <w:trPr>
          <w:cantSplit/>
        </w:trPr>
        <w:tc>
          <w:tcPr>
            <w:tcW w:type="dxa" w:w="2540"/>
          </w:tcPr>
          <w:p>
            <w:pPr>
              <w:spacing w:line="240" w:lineRule="auto" w:after="100" w:before="100"/>
              <w:ind w:firstLine="0"/>
            </w:pPr>
            <w:r>
              <w:rPr>
                <w:b w:val="0"/>
                <w:sz w:val="20"/>
              </w:rPr>
              <w:t>Saúde de PostgreSQL e Redis</w:t>
            </w:r>
          </w:p>
        </w:tc>
        <w:tc>
          <w:tcPr>
            <w:tcW w:type="dxa" w:w="6531"/>
          </w:tcPr>
          <w:p>
            <w:pPr>
              <w:spacing w:line="240" w:lineRule="auto" w:after="100" w:before="100"/>
              <w:ind w:firstLine="0"/>
            </w:pPr>
            <w:r>
              <w:rPr>
                <w:b w:val="0"/>
                <w:sz w:val="20"/>
              </w:rPr>
              <w:t>&lt;http://localhost:3001/api/health/deep&gt;</w:t>
            </w:r>
          </w:p>
        </w:tc>
      </w:tr>
      <w:tr>
        <w:trPr>
          <w:cantSplit/>
        </w:trPr>
        <w:tc>
          <w:tcPr>
            <w:tcW w:type="dxa" w:w="2540"/>
          </w:tcPr>
          <w:p>
            <w:pPr>
              <w:keepNext/>
              <w:spacing w:line="240" w:lineRule="auto" w:after="100" w:before="100"/>
              <w:ind w:firstLine="0"/>
            </w:pPr>
            <w:r>
              <w:rPr>
                <w:b w:val="0"/>
                <w:sz w:val="20"/>
              </w:rPr>
              <w:t>Swagger em desenvolvimento</w:t>
            </w:r>
          </w:p>
        </w:tc>
        <w:tc>
          <w:tcPr>
            <w:tcW w:type="dxa" w:w="6531"/>
          </w:tcPr>
          <w:p>
            <w:pPr>
              <w:keepNext/>
              <w:spacing w:line="240" w:lineRule="auto" w:after="100" w:before="100"/>
              <w:ind w:firstLine="0"/>
            </w:pPr>
            <w:r>
              <w:rPr>
                <w:b w:val="0"/>
                <w:sz w:val="20"/>
              </w:rPr>
              <w:t>&lt;http://localhost:3001/api/docs&gt;</w:t>
            </w:r>
          </w:p>
        </w:tc>
      </w:tr>
    </w:tbl>
    <w:p>
      <w:pPr>
        <w:spacing w:line="240" w:lineRule="auto"/>
        <w:ind w:firstLine="0"/>
        <w:jc w:val="center"/>
      </w:pPr>
      <w:r>
        <w:rPr>
          <w:sz w:val="20"/>
        </w:rPr>
        <w:t>Fonte: elaboração dos autores com base no código do Nexly (2026).</w:t>
      </w:r>
    </w:p>
    <w:p>
      <w:pPr>
        <w:jc w:val="both"/>
      </w:pPr>
      <w:r>
        <w:t>O Swagger não é publicado em produção. Schemas, DTOs e permissões da API definem quais dados cada operação aceita.</w:t>
      </w:r>
    </w:p>
    <w:p>
      <w:bookmarkStart w:id="33" w:name="sec33"/>
      <w:pPr>
        <w:pStyle w:val="Heading2"/>
      </w:pPr>
      <w:r>
        <w:t>6.5 Comandos de manutenção</w:t>
      </w:r>
      <w:bookmarkEnd w:id="33"/>
    </w:p>
    <w:p>
      <w:pPr>
        <w:spacing w:line="240" w:lineRule="auto"/>
        <w:ind w:firstLine="0"/>
      </w:pPr>
      <w:r>
        <w:rPr>
          <w:rFonts w:ascii="Consolas" w:hAnsi="Consolas"/>
          <w:sz w:val="18"/>
        </w:rPr>
        <w:t>npm run typecheck --workspace @nexly/api</w:t>
      </w:r>
    </w:p>
    <w:p>
      <w:pPr>
        <w:spacing w:line="240" w:lineRule="auto"/>
        <w:ind w:firstLine="0"/>
      </w:pPr>
      <w:r>
        <w:rPr>
          <w:rFonts w:ascii="Consolas" w:hAnsi="Consolas"/>
          <w:sz w:val="18"/>
        </w:rPr>
        <w:t>npm run typecheck --workspace @nexly/web</w:t>
      </w:r>
    </w:p>
    <w:p>
      <w:pPr>
        <w:spacing w:line="240" w:lineRule="auto"/>
        <w:ind w:firstLine="0"/>
      </w:pPr>
      <w:r>
        <w:rPr>
          <w:rFonts w:ascii="Consolas" w:hAnsi="Consolas"/>
          <w:sz w:val="18"/>
        </w:rPr>
        <w:t>npm run typecheck:e2e</w:t>
      </w:r>
    </w:p>
    <w:p>
      <w:pPr>
        <w:spacing w:line="240" w:lineRule="auto"/>
        <w:ind w:firstLine="0"/>
      </w:pPr>
      <w:r>
        <w:rPr>
          <w:rFonts w:ascii="Consolas" w:hAnsi="Consolas"/>
          <w:sz w:val="18"/>
        </w:rPr>
        <w:t>npm run lint</w:t>
      </w:r>
    </w:p>
    <w:p>
      <w:pPr>
        <w:spacing w:line="240" w:lineRule="auto"/>
        <w:ind w:firstLine="0"/>
      </w:pPr>
      <w:r>
        <w:rPr>
          <w:rFonts w:ascii="Consolas" w:hAnsi="Consolas"/>
          <w:sz w:val="18"/>
        </w:rPr>
        <w:t>npm test --workspace @nexly/api -- --runInBand</w:t>
      </w:r>
    </w:p>
    <w:p>
      <w:pPr>
        <w:spacing w:line="240" w:lineRule="auto"/>
        <w:ind w:firstLine="0"/>
      </w:pPr>
      <w:r>
        <w:rPr>
          <w:rFonts w:ascii="Consolas" w:hAnsi="Consolas"/>
          <w:sz w:val="18"/>
        </w:rPr>
        <w:t>npm run build</w:t>
      </w:r>
    </w:p>
    <w:p>
      <w:pPr>
        <w:spacing w:line="240" w:lineRule="auto"/>
        <w:ind w:firstLine="0"/>
      </w:pPr>
      <w:r>
        <w:rPr>
          <w:rFonts w:ascii="Consolas" w:hAnsi="Consolas"/>
          <w:sz w:val="18"/>
        </w:rPr>
        <w:t>npm run e2e</w:t>
      </w:r>
    </w:p>
    <w:p>
      <w:pPr>
        <w:jc w:val="both"/>
      </w:pPr>
      <w:r>
        <w:t>Prepare o banco e as variáveis das fixtures antes dos testes E2E. A suíte utiliza dados temporários e pode criar empresas de teste. O CI demonstra o ambiente isolado em .github/workflows/ci.yml.</w:t>
      </w:r>
    </w:p>
    <w:p>
      <w:pPr>
        <w:jc w:val="both"/>
      </w:pPr>
      <w:r>
        <w:t>No Windows, start-local.ps1 verifica ambiente e portas antes de iniciar a API e o frontend. O iniciador força integrações de comunicação desativadas no ambiente local e preserva processos que já ocupam as portas.</w:t>
      </w:r>
    </w:p>
    <w:p>
      <w:bookmarkStart w:id="34" w:name="sec34"/>
      <w:pPr>
        <w:pStyle w:val="Heading2"/>
      </w:pPr>
      <w:r>
        <w:t>6.6 Trabalho com economia de contexto</w:t>
      </w:r>
      <w:bookmarkEnd w:id="34"/>
    </w:p>
    <w:p>
      <w:pPr>
        <w:jc w:val="both"/>
      </w:pPr>
      <w:r>
        <w:t>O RTK é uma ferramenta opcional da máquina do desenvolvedor; não é dependência da aplicação nem do deploy. Ele resume saídas de comandos, e rtk gain informa a economia medida pela ferramenta. Use busca direcionada, leia somente os trechos necessários e execute testes relacionados à alteração. Não há garantia de redução fixa de tokens ou de aumento dos limites do Codex.</w:t>
      </w:r>
    </w:p>
    <w:p>
      <w:pPr>
        <w:jc w:val="both"/>
      </w:pPr>
      <w:r>
        <w:t>O fluxo recomendado mantém código e documentação juntos, salva artefatos de testes em test-results e revisa o diff antes do commit. Diante de saída incompreensível, recupere o resultado completo conforme as instruções da versão instalada do RTK.</w:t>
      </w:r>
    </w:p>
    <w:p>
      <w:bookmarkStart w:id="35" w:name="sec35"/>
      <w:pPr>
        <w:pStyle w:val="Heading2"/>
      </w:pPr>
      <w:r>
        <w:t>6.7 Manter esta documentação</w:t>
      </w:r>
      <w:bookmarkEnd w:id="35"/>
    </w:p>
    <w:p>
      <w:pPr>
        <w:spacing w:line="240" w:lineRule="auto"/>
        <w:ind w:firstLine="0"/>
      </w:pPr>
      <w:r>
        <w:rPr>
          <w:rFonts w:ascii="Consolas" w:hAnsi="Consolas"/>
          <w:sz w:val="18"/>
        </w:rPr>
        <w:t>npm run docs:generate</w:t>
      </w:r>
    </w:p>
    <w:p>
      <w:pPr>
        <w:spacing w:line="240" w:lineRule="auto"/>
        <w:ind w:firstLine="0"/>
      </w:pPr>
      <w:r>
        <w:rPr>
          <w:rFonts w:ascii="Consolas" w:hAnsi="Consolas"/>
          <w:sz w:val="18"/>
        </w:rPr>
        <w:t>npm run docs:check</w:t>
      </w:r>
    </w:p>
    <w:p>
      <w:pPr>
        <w:jc w:val="both"/>
      </w:pPr>
      <w:r>
        <w:t>O primeiro comando atualiza rotas e modelos a partir dos arquivos TypeScript e Prisma. O segundo confere sincronização, links locais, padrões reconhecíveis de segredos e ausência de artefatos de teste em docs. O conteúdo explicativo continua exigindo revisão humana; o verificador não comprova veracidade completa nem substitui gitleaks.</w:t>
      </w:r>
    </w:p>
    <w:p>
      <w:bookmarkStart w:id="36" w:name="sec36"/>
      <w:pPr>
        <w:pStyle w:val="Heading1"/>
      </w:pPr>
      <w:r>
        <w:t>7 OPERAÇÃO E INTEGRAÇÕES EXTERNAS</w:t>
      </w:r>
      <w:bookmarkEnd w:id="36"/>
    </w:p>
    <w:p>
      <w:bookmarkStart w:id="37" w:name="sec37"/>
      <w:pPr>
        <w:pStyle w:val="Heading2"/>
      </w:pPr>
      <w:r>
        <w:t>7.1 Ambientes e publicação</w:t>
      </w:r>
      <w:bookmarkEnd w:id="37"/>
    </w:p>
    <w:p>
      <w:pPr>
        <w:jc w:val="both"/>
      </w:pPr>
      <w:r>
        <w:t>O frontend publicado é &lt;https://nexly-web.vercel.app&gt;. A implantação configurada utiliza Vercel para web, Railway para API, Supabase para PostgreSQL e Redis como serviço complementar. A conexão do frontend com a API deve usar o endereço efetivo do ambiente; variáveis de compilação do Next.js precisam estar corretas antes do build.</w:t>
      </w:r>
    </w:p>
    <w:p>
      <w:pPr>
        <w:pStyle w:val="ListNumber"/>
        <w:ind w:firstLine="0"/>
        <w:jc w:val="both"/>
      </w:pPr>
      <w:r>
        <w:t>Confira branch, commit e ambiente de destino.</w:t>
      </w:r>
    </w:p>
    <w:p>
      <w:pPr>
        <w:pStyle w:val="ListNumber"/>
        <w:ind w:firstLine="0"/>
        <w:jc w:val="both"/>
      </w:pPr>
      <w:r>
        <w:t>Execute as verificações relevantes e revise as alterações de schema.</w:t>
      </w:r>
    </w:p>
    <w:p>
      <w:pPr>
        <w:pStyle w:val="ListNumber"/>
        <w:ind w:firstLine="0"/>
        <w:jc w:val="both"/>
      </w:pPr>
      <w:r>
        <w:t>Garanta backup e estratégia de recuperação antes de migração relevante.</w:t>
      </w:r>
    </w:p>
    <w:p>
      <w:pPr>
        <w:pStyle w:val="ListNumber"/>
        <w:ind w:firstLine="0"/>
        <w:jc w:val="both"/>
      </w:pPr>
      <w:r>
        <w:t>Publique a API, confira migrações, saúde e rotas da nova versão.</w:t>
      </w:r>
    </w:p>
    <w:p>
      <w:pPr>
        <w:pStyle w:val="ListNumber"/>
        <w:ind w:firstLine="0"/>
        <w:jc w:val="both"/>
      </w:pPr>
      <w:r>
        <w:t>Publique o frontend e percorra os fluxos afetados.</w:t>
      </w:r>
    </w:p>
    <w:p>
      <w:pPr>
        <w:jc w:val="both"/>
      </w:pPr>
      <w:r>
        <w:t>railway.json configura build e inicialização da API. O script de produção aplica as migrações antes de iniciar. Um deploy marcado como Active comprova que uma versão está executando; compare o commit para identificar qual. Uma rota nova respondendo 404 pode indicar versão anterior ou endereço incorreto. Para rota protegida, 401 sem credencial confirma a barreira de autenticação, mas não valida a regra completa.</w:t>
      </w:r>
    </w:p>
    <w:p>
      <w:pPr>
        <w:jc w:val="both"/>
      </w:pPr>
      <w:r>
        <w:t>Confira /api/health e /api/health/deep. Endpoints de diagnóstico adicionais seguem as proteções definidas no controller. Evite publicar resultados de diagnóstico que revelem configuração ou credenciais.</w:t>
      </w:r>
    </w:p>
    <w:p>
      <w:bookmarkStart w:id="38" w:name="sec38"/>
      <w:pPr>
        <w:pStyle w:val="Heading2"/>
      </w:pPr>
      <w:r>
        <w:t>7.2 Incidentes de hospedagem</w:t>
      </w:r>
      <w:bookmarkEnd w:id="38"/>
    </w:p>
    <w:p>
      <w:pPr>
        <w:jc w:val="both"/>
      </w:pPr>
      <w:r>
        <w:t>Se a plataforma informar pausa de deploys, confira o status oficial do Railway. Excluir serviços ou deploys não resolve uma pausa imposta pela infraestrutura. Preserve a instância funcional e evite enfileirar repetidamente a mesma versão.</w:t>
      </w:r>
    </w:p>
    <w:p>
      <w:pPr>
        <w:jc w:val="both"/>
      </w:pPr>
      <w:r>
        <w:t>Em 21/10/2026, o Railway publicou um comunicado de possível acesso indevido a variáveis de ambiente. O provedor recomendou substituição das credenciais armazenadas. Isso não comprova impacto específico no Nexly. A situação atual deve ser verificada no provedor; esta documentação não declara o incidente resolvido nem as chaves do Nexly já substituídas.</w:t>
      </w:r>
    </w:p>
    <w:p>
      <w:pPr>
        <w:jc w:val="both"/>
      </w:pPr>
      <w:r>
        <w:t>Para responder, inventarie nomes de segredos configurados, identifique cada provedor, prepare credenciais novas com menor privilégio, atualize os consumidores e valide o funcionamento. Aplique a revogação conforme a urgência e a possibilidade de exposição. Quando a publicação estiver bloqueada, considere explicitamente o risco de manter a credencial e o impacto de indisponibilidade; não suponha que salvar uma variável atualize um container em execução. Nunca copie os valores para esta documentação.</w:t>
      </w:r>
    </w:p>
    <w:p>
      <w:bookmarkStart w:id="39" w:name="sec39"/>
      <w:pPr>
        <w:pStyle w:val="Heading2"/>
      </w:pPr>
      <w:r>
        <w:t>7.3 Google</w:t>
      </w:r>
      <w:bookmarkEnd w:id="39"/>
    </w:p>
    <w:p>
      <w:pPr>
        <w:jc w:val="both"/>
      </w:pPr>
      <w:r>
        <w:t>Configure um cliente OAuth Web e suas origens JavaScript autorizadas, como http://localhost:3002 e o domínio público efetivamente utilizado. A API usa GOOGLE_CLIENT_ID; vazio desativa o provedor conforme configuração. O fluxo atual utiliza Google Identity Services e valida ID token no backend; não requer inventar um callback OAuth de outro projeto.</w:t>
      </w:r>
    </w:p>
    <w:p>
      <w:pPr>
        <w:jc w:val="both"/>
      </w:pPr>
      <w:r>
        <w:t>Conta nova continua o cadastro do negócio. Conta existente utiliza o fluxo de vinculação protegido. Testes automatizados com dublês não substituem a autorização real do proprietário no provedor. Consulte o guia oficial de validação.</w:t>
      </w:r>
    </w:p>
    <w:p>
      <w:bookmarkStart w:id="40" w:name="sec40"/>
      <w:pPr>
        <w:pStyle w:val="Heading2"/>
      </w:pPr>
      <w:r>
        <w:t>7.4 Assinaturas Stripe</w:t>
      </w:r>
      <w:bookmarkEnd w:id="40"/>
    </w:p>
    <w:p>
      <w:pPr>
        <w:jc w:val="both"/>
      </w:pPr>
      <w:r>
        <w:t>O Stripe recebe o pagamento dos planos do Nexly. A API cria Checkout e Portal; o webhook e a reconciliação confirmam o estado comercial. A página de retorno não comprova, por si só, uma assinatura paga.</w:t>
      </w:r>
    </w:p>
    <w:p>
      <w:pPr>
        <w:keepNext/>
        <w:spacing w:line="240" w:lineRule="auto" w:before="120" w:after="120"/>
        <w:ind w:firstLine="0"/>
        <w:jc w:val="center"/>
      </w:pPr>
      <w:r>
        <w:rPr>
          <w:sz w:val="20"/>
        </w:rPr>
        <w:t>Quadro 7 – Configuração de assinaturas</w:t>
      </w:r>
    </w:p>
    <w:tbl>
      <w:tblPr>
        <w:tblStyle w:val="TableGrid"/>
        <w:tblW w:type="auto" w:w="0"/>
        <w:tblLayout w:type="fixed"/>
        <w:tblLook w:firstColumn="1" w:firstRow="1" w:lastColumn="0" w:lastRow="0" w:noHBand="0" w:noVBand="1" w:val="04A0"/>
      </w:tblPr>
      <w:tblGrid>
        <w:gridCol w:w="4082"/>
        <w:gridCol w:w="4989"/>
      </w:tblGrid>
      <w:tr>
        <w:trPr>
          <w:tblHeader/>
          <w:cantSplit/>
        </w:trPr>
        <w:tc>
          <w:tcPr>
            <w:tcW w:type="dxa" w:w="4082"/>
          </w:tcPr>
          <w:p>
            <w:pPr>
              <w:spacing w:line="240" w:lineRule="auto" w:after="100" w:before="100"/>
              <w:ind w:firstLine="0"/>
            </w:pPr>
            <w:r>
              <w:rPr>
                <w:b/>
                <w:sz w:val="20"/>
              </w:rPr>
              <w:t>Configuração</w:t>
            </w:r>
          </w:p>
        </w:tc>
        <w:tc>
          <w:tcPr>
            <w:tcW w:type="dxa" w:w="4989"/>
          </w:tcPr>
          <w:p>
            <w:pPr>
              <w:spacing w:line="240" w:lineRule="auto" w:after="100" w:before="100"/>
              <w:ind w:firstLine="0"/>
            </w:pPr>
            <w:r>
              <w:rPr>
                <w:b/>
                <w:sz w:val="20"/>
              </w:rPr>
              <w:t>Finalidade</w:t>
            </w:r>
          </w:p>
        </w:tc>
      </w:tr>
      <w:tr>
        <w:trPr>
          <w:cantSplit/>
        </w:trPr>
        <w:tc>
          <w:tcPr>
            <w:tcW w:type="dxa" w:w="4082"/>
          </w:tcPr>
          <w:p>
            <w:pPr>
              <w:spacing w:line="240" w:lineRule="auto" w:after="100" w:before="100"/>
              <w:ind w:firstLine="0"/>
            </w:pPr>
            <w:r>
              <w:rPr>
                <w:b w:val="0"/>
                <w:sz w:val="20"/>
              </w:rPr>
              <w:t>STRIPE_ENABLED</w:t>
            </w:r>
          </w:p>
        </w:tc>
        <w:tc>
          <w:tcPr>
            <w:tcW w:type="dxa" w:w="4989"/>
          </w:tcPr>
          <w:p>
            <w:pPr>
              <w:spacing w:line="240" w:lineRule="auto" w:after="100" w:before="100"/>
              <w:ind w:firstLine="0"/>
            </w:pPr>
            <w:r>
              <w:rPr>
                <w:b w:val="0"/>
                <w:sz w:val="20"/>
              </w:rPr>
              <w:t>Habilita a integração quando a configuração está válida.</w:t>
            </w:r>
          </w:p>
        </w:tc>
      </w:tr>
      <w:tr>
        <w:trPr>
          <w:cantSplit/>
        </w:trPr>
        <w:tc>
          <w:tcPr>
            <w:tcW w:type="dxa" w:w="4082"/>
          </w:tcPr>
          <w:p>
            <w:pPr>
              <w:spacing w:line="240" w:lineRule="auto" w:after="100" w:before="100"/>
              <w:ind w:firstLine="0"/>
            </w:pPr>
            <w:r>
              <w:rPr>
                <w:b w:val="0"/>
                <w:sz w:val="20"/>
              </w:rPr>
              <w:t>STRIPE_MODE</w:t>
            </w:r>
          </w:p>
        </w:tc>
        <w:tc>
          <w:tcPr>
            <w:tcW w:type="dxa" w:w="4989"/>
          </w:tcPr>
          <w:p>
            <w:pPr>
              <w:spacing w:line="240" w:lineRule="auto" w:after="100" w:before="100"/>
              <w:ind w:firstLine="0"/>
            </w:pPr>
            <w:r>
              <w:rPr>
                <w:b w:val="0"/>
                <w:sz w:val="20"/>
              </w:rPr>
              <w:t>Separa teste e produção.</w:t>
            </w:r>
          </w:p>
        </w:tc>
      </w:tr>
      <w:tr>
        <w:trPr>
          <w:cantSplit/>
        </w:trPr>
        <w:tc>
          <w:tcPr>
            <w:tcW w:type="dxa" w:w="4082"/>
          </w:tcPr>
          <w:p>
            <w:pPr>
              <w:spacing w:line="240" w:lineRule="auto" w:after="100" w:before="100"/>
              <w:ind w:firstLine="0"/>
            </w:pPr>
            <w:r>
              <w:rPr>
                <w:b w:val="0"/>
                <w:sz w:val="20"/>
              </w:rPr>
              <w:t>STRIPE_RESTRICTED_KEY e STRIPE_WEBHOOK_SECRET</w:t>
            </w:r>
          </w:p>
        </w:tc>
        <w:tc>
          <w:tcPr>
            <w:tcW w:type="dxa" w:w="4989"/>
          </w:tcPr>
          <w:p>
            <w:pPr>
              <w:spacing w:line="240" w:lineRule="auto" w:after="100" w:before="100"/>
              <w:ind w:firstLine="0"/>
            </w:pPr>
            <w:r>
              <w:rPr>
                <w:b w:val="0"/>
                <w:sz w:val="20"/>
              </w:rPr>
              <w:t>Credenciais do ambiente de teste.</w:t>
            </w:r>
          </w:p>
        </w:tc>
      </w:tr>
      <w:tr>
        <w:trPr>
          <w:cantSplit/>
        </w:trPr>
        <w:tc>
          <w:tcPr>
            <w:tcW w:type="dxa" w:w="4082"/>
          </w:tcPr>
          <w:p>
            <w:pPr>
              <w:spacing w:line="240" w:lineRule="auto" w:after="100" w:before="100"/>
              <w:ind w:firstLine="0"/>
            </w:pPr>
            <w:r>
              <w:rPr>
                <w:b w:val="0"/>
                <w:sz w:val="20"/>
              </w:rPr>
              <w:t>STRIPE_LIVE_RESTRICTED_KEY e STRIPE_LIVE_WEBHOOK_SECRET</w:t>
            </w:r>
          </w:p>
        </w:tc>
        <w:tc>
          <w:tcPr>
            <w:tcW w:type="dxa" w:w="4989"/>
          </w:tcPr>
          <w:p>
            <w:pPr>
              <w:spacing w:line="240" w:lineRule="auto" w:after="100" w:before="100"/>
              <w:ind w:firstLine="0"/>
            </w:pPr>
            <w:r>
              <w:rPr>
                <w:b w:val="0"/>
                <w:sz w:val="20"/>
              </w:rPr>
              <w:t>Credenciais de produção, somente no backend.</w:t>
            </w:r>
          </w:p>
        </w:tc>
      </w:tr>
      <w:tr>
        <w:trPr>
          <w:cantSplit/>
        </w:trPr>
        <w:tc>
          <w:tcPr>
            <w:tcW w:type="dxa" w:w="4082"/>
          </w:tcPr>
          <w:p>
            <w:pPr>
              <w:keepNext/>
              <w:spacing w:line="240" w:lineRule="auto" w:after="100" w:before="100"/>
              <w:ind w:firstLine="0"/>
            </w:pPr>
            <w:r>
              <w:rPr>
                <w:b w:val="0"/>
                <w:sz w:val="20"/>
              </w:rPr>
              <w:t>STRIPE_RETURN_ORIGIN</w:t>
            </w:r>
          </w:p>
        </w:tc>
        <w:tc>
          <w:tcPr>
            <w:tcW w:type="dxa" w:w="4989"/>
          </w:tcPr>
          <w:p>
            <w:pPr>
              <w:keepNext/>
              <w:spacing w:line="240" w:lineRule="auto" w:after="100" w:before="100"/>
              <w:ind w:firstLine="0"/>
            </w:pPr>
            <w:r>
              <w:rPr>
                <w:b w:val="0"/>
                <w:sz w:val="20"/>
              </w:rPr>
              <w:t>Origem de retorno permitida; HTTPS em produção.</w:t>
            </w:r>
          </w:p>
        </w:tc>
      </w:tr>
    </w:tbl>
    <w:p>
      <w:pPr>
        <w:spacing w:line="240" w:lineRule="auto"/>
        <w:ind w:firstLine="0"/>
        <w:jc w:val="center"/>
      </w:pPr>
      <w:r>
        <w:rPr>
          <w:sz w:val="20"/>
        </w:rPr>
        <w:t>Fonte: elaboração dos autores com base no código do Nexly (2026).</w:t>
      </w:r>
    </w:p>
    <w:p>
      <w:pPr>
        <w:jc w:val="both"/>
      </w:pPr>
      <w:r>
        <w:t>Cadastre o endpoint /api/assinaturas/webhook no ambiente correspondente e atribua somente as permissões necessárias à integração. Os IDs e preços esperados estão no catálogo do backend. Não reutilize chaves live no localhost para contornar o bloqueio de ambiente. Confirme contratação, webhook, troca e cancelamento no Sandbox antes de operação comercial; teste real envolve autorização e cobrança efetiva.</w:t>
      </w:r>
    </w:p>
    <w:p>
      <w:pPr>
        <w:jc w:val="both"/>
      </w:pPr>
      <w:r>
        <w:t>O recebimento bancário depende da conta Stripe ativada, dados bancários e verificações do responsável. Dados pessoais e financeiros do titular não pertencem ao repositório.</w:t>
      </w:r>
    </w:p>
    <w:p>
      <w:bookmarkStart w:id="41" w:name="sec41"/>
      <w:pPr>
        <w:pStyle w:val="Heading2"/>
      </w:pPr>
      <w:r>
        <w:t>7.5 E-mail e WhatsApp</w:t>
      </w:r>
      <w:bookmarkEnd w:id="41"/>
    </w:p>
    <w:p>
      <w:pPr>
        <w:jc w:val="both"/>
      </w:pPr>
      <w:r>
        <w:t>O envio de e-mails permanece desativado por decisão do responsável até configurar provedor e remetente. Para Resend, são necessários EMAIL_PROVIDER, RESEND_API_KEY, EMAIL_FROM, PUBLIC_APP_URL e EMAIL_QUEUE_KEY. A chave da fila tem 32 bytes representados em 64 caracteres hexadecimais e deve ser gerada com fonte criptográfica. Não trocar a chave sem avaliar mensagens pendentes cifradas com a anterior.</w:t>
      </w:r>
    </w:p>
    <w:p>
      <w:pPr>
        <w:jc w:val="both"/>
      </w:pPr>
      <w:r>
        <w:t>Recuperação de senha deve informar indisponibilidade quando o envio não foi configurado. Não prometer que o e-mail chegou antes de confirmação aplicável. WhatsApp inicia desativado no exemplo; provedores opcionais exigem configuração e homologação. Preparar contato manual em marketing não significa envio automático ativo.</w:t>
      </w:r>
    </w:p>
    <w:p>
      <w:bookmarkStart w:id="42" w:name="sec42"/>
      <w:pPr>
        <w:pStyle w:val="Heading2"/>
      </w:pPr>
      <w:r>
        <w:t>7.6 Backup e recuperação</w:t>
      </w:r>
      <w:bookmarkEnd w:id="42"/>
    </w:p>
    <w:p>
      <w:pPr>
        <w:jc w:val="both"/>
      </w:pPr>
      <w:r>
        <w:t>O projeto fornece scripts/backup-db.sh, scripts/restore-test.sh e workflow agendado. O backup usa pg_dump, cifra o arquivo com GPG/AES-256 e pode enviá-lo a armazenamento compatível com S3. Restauração de teste é separada da produção e possui proteção de nome de banco.</w:t>
      </w:r>
    </w:p>
    <w:p>
      <w:pPr>
        <w:jc w:val="both"/>
      </w:pPr>
      <w:r>
        <w:t>Configure no GitHub os secrets exigidos pelo workflow: URL de backup, senha de cifra e acesso ao armazenamento. Use bucket privado, retenção definida e acesso restrito. Os agendamentos estão no próprio backup.yml. Existência do script não comprova que o backup externo de produção esteja ativo ou que a restauração mais recente tenha sido bem-sucedida.</w:t>
      </w:r>
    </w:p>
    <w:p>
      <w:pPr>
        <w:jc w:val="both"/>
      </w:pPr>
      <w:r>
        <w:t>Valide recuperação em banco descartável, registre data e resultado sem dados pessoais e confirme que os registros restaurados são consistentes. Não execute restauração sobre o banco publicado como teste.</w:t>
      </w:r>
    </w:p>
    <w:p>
      <w:bookmarkStart w:id="43" w:name="sec43"/>
      <w:pPr>
        <w:pStyle w:val="Heading2"/>
      </w:pPr>
      <w:r>
        <w:t>7.7 Suporte e prontidão comercial</w:t>
      </w:r>
      <w:bookmarkEnd w:id="43"/>
    </w:p>
    <w:p>
      <w:pPr>
        <w:jc w:val="both"/>
      </w:pPr>
      <w:r>
        <w:t>Contato público autorizado: breno.emailsenai@gmail.com. Antes de abrir o serviço, confirme atendimento desse canal, identificação do responsável, condições comerciais, termos, privacidade, testes de recebimento e cancelamento, backup restaurável e acompanhamento de um piloto. Pendências externas devem ser acompanhadas operacionalmente; não marcar como concluídas apenas porque há uma tela implementada.</w:t>
      </w:r>
    </w:p>
    <w:p>
      <w:bookmarkStart w:id="44" w:name="sec44"/>
      <w:pPr>
        <w:pStyle w:val="Heading1"/>
      </w:pPr>
      <w:r>
        <w:t>8 QUALIDADE E TESTES</w:t>
      </w:r>
      <w:bookmarkEnd w:id="44"/>
    </w:p>
    <w:p>
      <w:bookmarkStart w:id="45" w:name="sec45"/>
      <w:pPr>
        <w:pStyle w:val="Heading2"/>
      </w:pPr>
      <w:r>
        <w:t>8.1 Objetivo e ambiente</w:t>
      </w:r>
      <w:bookmarkEnd w:id="45"/>
    </w:p>
    <w:p>
      <w:pPr>
        <w:jc w:val="both"/>
      </w:pPr>
      <w:r>
        <w:t>Verificar se uma pessoa consegue operar o Nexly, se as regras preservam os registros e se cada empresa e perfil acessa somente os recursos permitidos. Jest verifica regras da API; Playwright percorre páginas e integrações locais. Fixtures reais usam banco de teste e limpeza ao final. Dublês de Google, Stripe e comunicação precisam estar identificados.</w:t>
      </w:r>
    </w:p>
    <w:p>
      <w:pPr>
        <w:jc w:val="both"/>
      </w:pPr>
      <w:r>
        <w:t>Não use banco de produção, credenciais live ou dados pessoais reais nas fixtures. Um teste aprovado prova o cenário e as condições executadas, sem garantir ausência de qualquer falha no sistema.</w:t>
      </w:r>
    </w:p>
    <w:p>
      <w:bookmarkStart w:id="46" w:name="sec46"/>
      <w:pPr>
        <w:pStyle w:val="Heading2"/>
      </w:pPr>
      <w:r>
        <w:t>8.2 Como executar</w:t>
      </w:r>
      <w:bookmarkEnd w:id="46"/>
    </w:p>
    <w:p>
      <w:pPr>
        <w:spacing w:line="240" w:lineRule="auto"/>
        <w:ind w:firstLine="0"/>
      </w:pPr>
      <w:r>
        <w:rPr>
          <w:rFonts w:ascii="Consolas" w:hAnsi="Consolas"/>
          <w:sz w:val="18"/>
        </w:rPr>
        <w:t>npm test --workspace @nexly/api -- --runInBand dashboard</w:t>
      </w:r>
    </w:p>
    <w:p>
      <w:pPr>
        <w:spacing w:line="240" w:lineRule="auto"/>
        <w:ind w:firstLine="0"/>
      </w:pPr>
      <w:r>
        <w:rPr>
          <w:rFonts w:ascii="Consolas" w:hAnsi="Consolas"/>
          <w:sz w:val="18"/>
        </w:rPr>
        <w:t>npm test --workspace @nexly/api -- --runInBand rotation-response recuperacao.service token.service</w:t>
      </w:r>
    </w:p>
    <w:p>
      <w:pPr>
        <w:spacing w:line="240" w:lineRule="auto"/>
        <w:ind w:firstLine="0"/>
      </w:pPr>
      <w:r>
        <w:rPr>
          <w:rFonts w:ascii="Consolas" w:hAnsi="Consolas"/>
          <w:sz w:val="18"/>
        </w:rPr>
        <w:t>npm run typecheck:e2e</w:t>
      </w:r>
    </w:p>
    <w:p>
      <w:pPr>
        <w:spacing w:line="240" w:lineRule="auto"/>
        <w:ind w:firstLine="0"/>
      </w:pPr>
      <w:r>
        <w:rPr>
          <w:rFonts w:ascii="Consolas" w:hAnsi="Consolas"/>
          <w:sz w:val="18"/>
        </w:rPr>
        <w:t>npx playwright test e2e/smoke/conversion.spec.ts e2e/smoke/dashboard-alerts.spec.ts --workers=1</w:t>
      </w:r>
    </w:p>
    <w:p>
      <w:pPr>
        <w:jc w:val="both"/>
      </w:pPr>
      <w:r>
        <w:t>O CI fornece PostgreSQL e Redis de teste, prepara schema, seed, builds e Chromium. Localmente, prepare as mesmas dependências e as variáveis das fixtures. As proteções dos scripts devem confirmar banco local ou descartável antes de cenários que alteram dados.</w:t>
      </w:r>
    </w:p>
    <w:p>
      <w:bookmarkStart w:id="47" w:name="sec47"/>
      <w:pPr>
        <w:pStyle w:val="Heading2"/>
      </w:pPr>
      <w:r>
        <w:t>8.3 Registro de evidências</w:t>
      </w:r>
      <w:bookmarkEnd w:id="47"/>
    </w:p>
    <w:p>
      <w:pPr>
        <w:jc w:val="both"/>
      </w:pPr>
      <w:r>
        <w:t>Registre commit, data, ambiente, comando, resultado e eventual falha. Falha deve ser corrigida ou permanecer identificada como pendência. Capturas, traces, exports e relatórios vão para test-results ou os diretórios ignorados do Playwright, sem publicação de conteúdo de clientes.</w:t>
      </w:r>
    </w:p>
    <w:p>
      <w:pPr>
        <w:jc w:val="both"/>
      </w:pPr>
      <w:r>
        <w:t>Na revisão de 21–22/10/2026, passaram 14 testes de dashboard, 34 de recuperação/rotação/token e 28 cenários de navegador selecionados após correções. Dez verificações adicionais das páginas públicas em produção, em desktop e celular, confirmaram imagens e navegação sem erro de JavaScript. Esses números descrevem execuções daquela revisão, sem representar o tamanho permanente de toda a suíte.</w:t>
      </w:r>
    </w:p>
    <w:p>
      <w:pPr>
        <w:jc w:val="both"/>
      </w:pPr>
      <w:r>
        <w:t>O CI completo registrou 101 de 102 cenários aprovados antes de corrigir um seletor antigo: a seção de primeiros passos passou a exigir expansão. O cenário comercial corrigido passou localmente. Em 23/10, foi conferido também o resultado do workflow E2E do commit 7b82af9: concluído com sucesso. Os testes da API e Semgrep desse commit também passaram; o audit das ferramentas permaneceu com falha. Consulte o CI atual para resultados de versões posteriores.</w:t>
      </w:r>
    </w:p>
    <w:p>
      <w:bookmarkStart w:id="48" w:name="sec48"/>
      <w:pPr>
        <w:pStyle w:val="Heading2"/>
      </w:pPr>
      <w:r>
        <w:t>8.4 Critérios de liberação</w:t>
      </w:r>
      <w:bookmarkEnd w:id="48"/>
    </w:p>
    <w:p>
      <w:pPr>
        <w:jc w:val="both"/>
      </w:pPr>
      <w:r>
        <w:t>Identidade visual consistente, jornadas afetadas verificadas, regras financeiras e de estoque preservadas, isolamento e permissões respeitados, migrações coerentes, segredos ausentes do diff, build e verificações relevantes aprovados. A liberação comercial também depende das configurações externas descritas em Operação.</w:t>
      </w:r>
    </w:p>
    <w:p>
      <w:bookmarkStart w:id="49" w:name="sec49"/>
      <w:pPr>
        <w:pStyle w:val="Heading1"/>
      </w:pPr>
      <w:r>
        <w:t>9 EVOLUÇÃO DOCUMENTADA</w:t>
      </w:r>
      <w:bookmarkEnd w:id="49"/>
    </w:p>
    <w:p>
      <w:bookmarkStart w:id="50" w:name="sec50"/>
      <w:pPr>
        <w:pStyle w:val="Heading2"/>
      </w:pPr>
      <w:r>
        <w:t>9.1 Outubro de 2026</w:t>
      </w:r>
      <w:bookmarkEnd w:id="50"/>
    </w:p>
    <w:p>
      <w:pPr>
        <w:jc w:val="both"/>
      </w:pPr>
      <w:r>
        <w:t>O produto evoluiu da agenda conectada ao estoque para um conjunto modular com financeiro, comissões, fidelidade, fornecedores, compras e recursos operacionais. Foram adicionados fluxos de personalização, trabalho em equipe, tarefas persistidas, sessões, segundo fator, login Google e assinaturas do Nexly. Configuração externa e disponibilidade em produção precisam ser verificadas separadamente.</w:t>
      </w:r>
    </w:p>
    <w:p>
      <w:bookmarkStart w:id="51" w:name="sec51"/>
      <w:pPr>
        <w:pStyle w:val="Heading2"/>
      </w:pPr>
      <w:r>
        <w:t>9.2 Revisão de 21 e 22 de outubro</w:t>
      </w:r>
      <w:bookmarkEnd w:id="51"/>
    </w:p>
    <w:p>
      <w:pPr>
        <w:keepNext/>
        <w:spacing w:line="240" w:lineRule="auto" w:before="120" w:after="120"/>
        <w:ind w:firstLine="0"/>
        <w:jc w:val="center"/>
      </w:pPr>
      <w:r>
        <w:rPr>
          <w:sz w:val="20"/>
        </w:rPr>
        <w:t>Quadro 8 – Entregas documentadas</w:t>
      </w:r>
    </w:p>
    <w:tbl>
      <w:tblPr>
        <w:tblStyle w:val="TableGrid"/>
        <w:tblW w:type="auto" w:w="0"/>
        <w:tblLayout w:type="fixed"/>
        <w:tblLook w:firstColumn="1" w:firstRow="1" w:lastColumn="0" w:lastRow="0" w:noHBand="0" w:noVBand="1" w:val="04A0"/>
      </w:tblPr>
      <w:tblGrid>
        <w:gridCol w:w="2540"/>
        <w:gridCol w:w="6531"/>
      </w:tblGrid>
      <w:tr>
        <w:trPr>
          <w:tblHeader/>
          <w:cantSplit/>
        </w:trPr>
        <w:tc>
          <w:tcPr>
            <w:tcW w:type="dxa" w:w="2540"/>
          </w:tcPr>
          <w:p>
            <w:pPr>
              <w:spacing w:line="240" w:lineRule="auto" w:after="100" w:before="100"/>
              <w:ind w:firstLine="0"/>
            </w:pPr>
            <w:r>
              <w:rPr>
                <w:b/>
                <w:sz w:val="20"/>
              </w:rPr>
              <w:t>Commit</w:t>
            </w:r>
          </w:p>
        </w:tc>
        <w:tc>
          <w:tcPr>
            <w:tcW w:type="dxa" w:w="6531"/>
          </w:tcPr>
          <w:p>
            <w:pPr>
              <w:spacing w:line="240" w:lineRule="auto" w:after="100" w:before="100"/>
              <w:ind w:firstLine="0"/>
            </w:pPr>
            <w:r>
              <w:rPr>
                <w:b/>
                <w:sz w:val="20"/>
              </w:rPr>
              <w:t>Entrega</w:t>
            </w:r>
          </w:p>
        </w:tc>
      </w:tr>
      <w:tr>
        <w:trPr>
          <w:cantSplit/>
        </w:trPr>
        <w:tc>
          <w:tcPr>
            <w:tcW w:type="dxa" w:w="2540"/>
          </w:tcPr>
          <w:p>
            <w:pPr>
              <w:spacing w:line="240" w:lineRule="auto" w:after="100" w:before="100"/>
              <w:ind w:firstLine="0"/>
            </w:pPr>
            <w:r>
              <w:rPr>
                <w:b w:val="0"/>
                <w:sz w:val="20"/>
              </w:rPr>
              <w:t>6899bb7</w:t>
            </w:r>
          </w:p>
        </w:tc>
        <w:tc>
          <w:tcPr>
            <w:tcW w:type="dxa" w:w="6531"/>
          </w:tcPr>
          <w:p>
            <w:pPr>
              <w:spacing w:line="240" w:lineRule="auto" w:after="100" w:before="100"/>
              <w:ind w:firstLine="0"/>
            </w:pPr>
            <w:r>
              <w:rPr>
                <w:b w:val="0"/>
                <w:sz w:val="20"/>
              </w:rPr>
              <w:t>Revisão da experiência pública preservando a identidade visual.</w:t>
            </w:r>
          </w:p>
        </w:tc>
      </w:tr>
      <w:tr>
        <w:trPr>
          <w:cantSplit/>
        </w:trPr>
        <w:tc>
          <w:tcPr>
            <w:tcW w:type="dxa" w:w="2540"/>
          </w:tcPr>
          <w:p>
            <w:pPr>
              <w:spacing w:line="240" w:lineRule="auto" w:after="100" w:before="100"/>
              <w:ind w:firstLine="0"/>
            </w:pPr>
            <w:r>
              <w:rPr>
                <w:b w:val="0"/>
                <w:sz w:val="20"/>
              </w:rPr>
              <w:t>e94da00</w:t>
            </w:r>
          </w:p>
        </w:tc>
        <w:tc>
          <w:tcPr>
            <w:tcW w:type="dxa" w:w="6531"/>
          </w:tcPr>
          <w:p>
            <w:pPr>
              <w:spacing w:line="240" w:lineRule="auto" w:after="100" w:before="100"/>
              <w:ind w:firstLine="0"/>
            </w:pPr>
            <w:r>
              <w:rPr>
                <w:b w:val="0"/>
                <w:sz w:val="20"/>
              </w:rPr>
              <w:t>Painel geral mais enxuto, com indicadores e detalhes operacionais.</w:t>
            </w:r>
          </w:p>
        </w:tc>
      </w:tr>
      <w:tr>
        <w:trPr>
          <w:cantSplit/>
        </w:trPr>
        <w:tc>
          <w:tcPr>
            <w:tcW w:type="dxa" w:w="2540"/>
          </w:tcPr>
          <w:p>
            <w:pPr>
              <w:spacing w:line="240" w:lineRule="auto" w:after="100" w:before="100"/>
              <w:ind w:firstLine="0"/>
            </w:pPr>
            <w:r>
              <w:rPr>
                <w:b w:val="0"/>
                <w:sz w:val="20"/>
              </w:rPr>
              <w:t>8379488</w:t>
            </w:r>
          </w:p>
        </w:tc>
        <w:tc>
          <w:tcPr>
            <w:tcW w:type="dxa" w:w="6531"/>
          </w:tcPr>
          <w:p>
            <w:pPr>
              <w:spacing w:line="240" w:lineRule="auto" w:after="100" w:before="100"/>
              <w:ind w:firstLine="0"/>
            </w:pPr>
            <w:r>
              <w:rPr>
                <w:b w:val="0"/>
                <w:sz w:val="20"/>
              </w:rPr>
              <w:t>Imagens demonstrativas, segmentos com ícones, FAQ ampliada, carrosséis e ajustes no cadastro.</w:t>
            </w:r>
          </w:p>
        </w:tc>
      </w:tr>
      <w:tr>
        <w:trPr>
          <w:cantSplit/>
        </w:trPr>
        <w:tc>
          <w:tcPr>
            <w:tcW w:type="dxa" w:w="2540"/>
          </w:tcPr>
          <w:p>
            <w:pPr>
              <w:spacing w:line="240" w:lineRule="auto" w:after="100" w:before="100"/>
              <w:ind w:firstLine="0"/>
            </w:pPr>
            <w:r>
              <w:rPr>
                <w:b w:val="0"/>
                <w:sz w:val="20"/>
              </w:rPr>
              <w:t>b15943b</w:t>
            </w:r>
          </w:p>
        </w:tc>
        <w:tc>
          <w:tcPr>
            <w:tcW w:type="dxa" w:w="6531"/>
          </w:tcPr>
          <w:p>
            <w:pPr>
              <w:spacing w:line="240" w:lineRule="auto" w:after="100" w:before="100"/>
              <w:ind w:firstLine="0"/>
            </w:pPr>
            <w:r>
              <w:rPr>
                <w:b w:val="0"/>
                <w:sz w:val="20"/>
              </w:rPr>
              <w:t>Alertas operacionais por empresa e permissão, com links ao período financeiro.</w:t>
            </w:r>
          </w:p>
        </w:tc>
      </w:tr>
      <w:tr>
        <w:trPr>
          <w:cantSplit/>
        </w:trPr>
        <w:tc>
          <w:tcPr>
            <w:tcW w:type="dxa" w:w="2540"/>
          </w:tcPr>
          <w:p>
            <w:pPr>
              <w:spacing w:line="240" w:lineRule="auto" w:after="100" w:before="100"/>
              <w:ind w:firstLine="0"/>
            </w:pPr>
            <w:r>
              <w:rPr>
                <w:b w:val="0"/>
                <w:sz w:val="20"/>
              </w:rPr>
              <w:t>be47a65</w:t>
            </w:r>
          </w:p>
        </w:tc>
        <w:tc>
          <w:tcPr>
            <w:tcW w:type="dxa" w:w="6531"/>
          </w:tcPr>
          <w:p>
            <w:pPr>
              <w:spacing w:line="240" w:lineRule="auto" w:after="100" w:before="100"/>
              <w:ind w:firstLine="0"/>
            </w:pPr>
            <w:r>
              <w:rPr>
                <w:b w:val="0"/>
                <w:sz w:val="20"/>
              </w:rPr>
              <w:t>Exigência explícita de tags AES-GCM completas e testes de truncamento.</w:t>
            </w:r>
          </w:p>
        </w:tc>
      </w:tr>
      <w:tr>
        <w:trPr>
          <w:cantSplit/>
        </w:trPr>
        <w:tc>
          <w:tcPr>
            <w:tcW w:type="dxa" w:w="2540"/>
          </w:tcPr>
          <w:p>
            <w:pPr>
              <w:keepNext/>
              <w:spacing w:line="240" w:lineRule="auto" w:after="100" w:before="100"/>
              <w:ind w:firstLine="0"/>
            </w:pPr>
            <w:r>
              <w:rPr>
                <w:b w:val="0"/>
                <w:sz w:val="20"/>
              </w:rPr>
              <w:t>7b82af9</w:t>
            </w:r>
          </w:p>
        </w:tc>
        <w:tc>
          <w:tcPr>
            <w:tcW w:type="dxa" w:w="6531"/>
          </w:tcPr>
          <w:p>
            <w:pPr>
              <w:keepNext/>
              <w:spacing w:line="240" w:lineRule="auto" w:after="100" w:before="100"/>
              <w:ind w:firstLine="0"/>
            </w:pPr>
            <w:r>
              <w:rPr>
                <w:b w:val="0"/>
                <w:sz w:val="20"/>
              </w:rPr>
              <w:t>Teste comercial adaptado à expansão dos primeiros passos no painel.</w:t>
            </w:r>
          </w:p>
        </w:tc>
      </w:tr>
    </w:tbl>
    <w:p>
      <w:pPr>
        <w:spacing w:line="240" w:lineRule="auto"/>
        <w:ind w:firstLine="0"/>
        <w:jc w:val="center"/>
      </w:pPr>
      <w:r>
        <w:rPr>
          <w:sz w:val="20"/>
        </w:rPr>
        <w:t>Fonte: elaboração dos autores com base no código do Nexly (2026).</w:t>
      </w:r>
    </w:p>
    <w:p>
      <w:pPr>
        <w:jc w:val="both"/>
      </w:pPr>
      <w:r>
        <w:t>O frontend foi verificado em produção nessa revisão. A nova rota de alertas foi validada localmente; sua publicação na API não estava confirmada no último teste de 22/10. O Railway relatou pausa de deploys e incidente de segurança, acompanhados por fontes oficiais. Isso é uma pendência operacional datada, não uma conclusão permanente sobre o serviço.</w:t>
      </w:r>
    </w:p>
    <w:p>
      <w:bookmarkStart w:id="52" w:name="sec52"/>
      <w:pPr>
        <w:pStyle w:val="Heading2"/>
      </w:pPr>
      <w:r>
        <w:t>9.3 Documentação de 23 de outubro</w:t>
      </w:r>
      <w:bookmarkEnd w:id="52"/>
    </w:p>
    <w:p>
      <w:pPr>
        <w:jc w:val="both"/>
      </w:pPr>
      <w:r>
        <w:t>A revisão documental organiza os guias públicos, atualiza o README e separa artefatos de testes. Referências de 195 rotas e 41 modelos permanecem completas no GitHub. Os documentos Word priorizam explicações e critérios para facilitar a leitura.</w:t>
      </w:r>
    </w:p>
    <w:p>
      <w:bookmarkStart w:id="53" w:name="sec53"/>
      <w:pPr>
        <w:pStyle w:val="Heading1"/>
      </w:pPr>
      <w:r>
        <w:t>10 CONSIDERAÇÕES FINAIS</w:t>
      </w:r>
      <w:bookmarkEnd w:id="53"/>
    </w:p>
    <w:p>
      <w:pPr>
        <w:jc w:val="both"/>
      </w:pPr>
      <w:r>
        <w:t>O Nexly reúne registros que antes exigiriam controles separados. A agenda conectada ao estoque demonstra a relação entre atendimento e consumo de materiais; os módulos complementares organizam a continuidade da operação. A revisão inclui fluxos comerciais, autenticação, personalização, páginas públicas e evidências de testes.</w:t>
      </w:r>
    </w:p>
    <w:p>
      <w:pPr>
        <w:jc w:val="both"/>
      </w:pPr>
      <w:r>
        <w:t>A continuidade exige acompanhamento de falhas, revisão de dependências, configuração dos provedores, publicação coerente de frontend e API e comprovação de recuperação de backup. A documentação não apresenta testes selecionados como garantia universal nem declara concluídas as etapas externas ainda sem evidência. Os guias públicos do repositório complementam este documento e devem evoluir junto com o código.</w:t>
      </w:r>
    </w:p>
    <w:p>
      <w:bookmarkStart w:id="54" w:name="sec54"/>
      <w:pPr>
        <w:pStyle w:val="Heading1"/>
        <w:jc w:val="center"/>
      </w:pPr>
      <w:r>
        <w:t>REFERÊNCIAS</w:t>
      </w:r>
      <w:bookmarkEnd w:id="54"/>
    </w:p>
    <w:p>
      <w:pPr>
        <w:spacing w:line="240" w:lineRule="auto" w:after="240"/>
        <w:ind w:firstLine="0"/>
        <w:jc w:val="left"/>
      </w:pPr>
      <w:r>
        <w:t xml:space="preserve">NESTJS. </w:t>
      </w:r>
      <w:r>
        <w:rPr>
          <w:b/>
        </w:rPr>
        <w:t>Documentação.</w:t>
      </w:r>
      <w:r>
        <w:t xml:space="preserve"> Disponível em: https://docs.nestjs.com/.</w:t>
      </w:r>
    </w:p>
    <w:p>
      <w:pPr>
        <w:spacing w:line="240" w:lineRule="auto" w:after="240"/>
        <w:ind w:firstLine="0"/>
        <w:jc w:val="left"/>
      </w:pPr>
      <w:r>
        <w:t xml:space="preserve">NEXT.JS. </w:t>
      </w:r>
      <w:r>
        <w:rPr>
          <w:b/>
        </w:rPr>
        <w:t>Documentação.</w:t>
      </w:r>
      <w:r>
        <w:t xml:space="preserve"> Disponível em: https://nextjs.org/docs.</w:t>
      </w:r>
    </w:p>
    <w:p>
      <w:pPr>
        <w:spacing w:line="240" w:lineRule="auto" w:after="240"/>
        <w:ind w:firstLine="0"/>
        <w:jc w:val="left"/>
      </w:pPr>
      <w:r>
        <w:t xml:space="preserve">NEXUSTECH. </w:t>
      </w:r>
      <w:r>
        <w:rPr>
          <w:b/>
        </w:rPr>
        <w:t>Nexly código-fonte e documentação.</w:t>
      </w:r>
      <w:r>
        <w:t xml:space="preserve"> 2026. Disponível em: https://github.com/Breno-J-Oliveira/Nexly.</w:t>
      </w:r>
    </w:p>
    <w:p>
      <w:pPr>
        <w:spacing w:line="240" w:lineRule="auto" w:after="240"/>
        <w:ind w:firstLine="0"/>
        <w:jc w:val="left"/>
      </w:pPr>
      <w:r>
        <w:t xml:space="preserve">POSTGRESQL. </w:t>
      </w:r>
      <w:r>
        <w:rPr>
          <w:b/>
        </w:rPr>
        <w:t>Documentação.</w:t>
      </w:r>
      <w:r>
        <w:t xml:space="preserve"> Disponível em: https://www.postgresql.org/docs/.</w:t>
      </w:r>
    </w:p>
    <w:p>
      <w:pPr>
        <w:spacing w:line="240" w:lineRule="auto" w:after="240"/>
        <w:ind w:firstLine="0"/>
        <w:jc w:val="left"/>
      </w:pPr>
      <w:r>
        <w:t xml:space="preserve">PRISMA. </w:t>
      </w:r>
      <w:r>
        <w:rPr>
          <w:b/>
        </w:rPr>
        <w:t>Documentação.</w:t>
      </w:r>
      <w:r>
        <w:t xml:space="preserve"> Disponível em: https://www.prisma.io/docs.</w:t>
      </w:r>
    </w:p>
    <w:p>
      <w:pPr>
        <w:spacing w:line="240" w:lineRule="auto" w:after="240"/>
        <w:ind w:firstLine="0"/>
        <w:jc w:val="left"/>
      </w:pPr>
      <w:r>
        <w:t xml:space="preserve">RAILWAY. </w:t>
      </w:r>
      <w:r>
        <w:rPr>
          <w:b/>
        </w:rPr>
        <w:t>Security Disclosure Wednesday October 21st.</w:t>
      </w:r>
      <w:r>
        <w:t xml:space="preserve"> 2026. Disponível em: https://blog.railway.com/p/security-disclosure-wednesday-october-21st.</w:t>
      </w:r>
    </w:p>
    <w:p>
      <w:pPr>
        <w:spacing w:line="240" w:lineRule="auto" w:after="240"/>
        <w:ind w:firstLine="0"/>
        <w:jc w:val="left"/>
      </w:pPr>
      <w:r>
        <w:t xml:space="preserve">REACT. </w:t>
      </w:r>
      <w:r>
        <w:rPr>
          <w:b/>
        </w:rPr>
        <w:t>Documentação.</w:t>
      </w:r>
      <w:r>
        <w:t xml:space="preserve"> Disponível em: https://react.dev/.</w:t>
      </w:r>
    </w:p>
    <w:p>
      <w:pPr>
        <w:spacing w:line="240" w:lineRule="auto" w:after="240"/>
        <w:ind w:firstLine="0"/>
        <w:jc w:val="left"/>
      </w:pPr>
      <w:r>
        <w:t xml:space="preserve">SENAI-SP. </w:t>
      </w:r>
      <w:r>
        <w:rPr>
          <w:b/>
        </w:rPr>
        <w:t>Manual de normalização de trabalhos acadêmicos.</w:t>
      </w:r>
      <w:r>
        <w:t xml:space="preserve"> 2. ed. São Paulo, 2024. Manual fornecido pelo responsável pelo projeto.</w:t>
      </w:r>
    </w:p>
    <w:sectPr w:rsidR="00FC693F" w:rsidRPr="0006063C" w:rsidSect="00034616">
      <w:headerReference w:type="default" r:id="rId11"/>
      <w:pgSz w:w="11906" w:h="16838"/>
      <w:pgMar w:top="1701" w:right="1134" w:bottom="1134" w:left="1701" w:header="85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40" w:line="360" w:lineRule="auto"/>
      <w:ind w:firstLine="0"/>
      <w:outlineLvl w:val="0"/>
    </w:pPr>
    <w:rPr>
      <w:rFonts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240" w:line="360" w:lineRule="auto"/>
      <w:ind w:firstLine="0"/>
      <w:outlineLvl w:val="1"/>
    </w:pPr>
    <w:rPr>
      <w:rFonts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360" w:after="240" w:line="360" w:lineRule="auto"/>
      <w:ind w:firstLine="0"/>
      <w:outlineLvl w:val="2"/>
    </w:pPr>
    <w:rPr>
      <w:rFonts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i/>
      <w:iCs/>
      <w:color w:val="00000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sz w:val="24"/>
    </w:rPr>
  </w:style>
  <w:style w:type="paragraph" w:styleId="BodyText">
    <w:name w:val="Body Text"/>
    <w:basedOn w:val="Normal"/>
    <w:link w:val="BodyTextChar"/>
    <w:uiPriority w:val="99"/>
    <w:unhideWhenUsed/>
    <w:rsid w:val="00AA1D8D"/>
    <w:pPr>
      <w:spacing w:after="120"/>
    </w:pPr>
    <w:rPr>
      <w:rFonts w:ascii="Arial" w:hAnsi="Arial"/>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sz w:val="24"/>
    </w:rPr>
  </w:style>
  <w:style w:type="paragraph" w:styleId="List2">
    <w:name w:val="List 2"/>
    <w:basedOn w:val="Normal"/>
    <w:uiPriority w:val="99"/>
    <w:unhideWhenUsed/>
    <w:rsid w:val="00326F90"/>
    <w:pPr>
      <w:ind w:left="720" w:hanging="360"/>
      <w:contextualSpacing/>
    </w:pPr>
    <w:rPr>
      <w:rFonts w:ascii="Arial" w:hAnsi="Arial"/>
      <w:color w:val="000000"/>
      <w:sz w:val="24"/>
    </w:rPr>
  </w:style>
  <w:style w:type="paragraph" w:styleId="List3">
    <w:name w:val="List 3"/>
    <w:basedOn w:val="Normal"/>
    <w:uiPriority w:val="99"/>
    <w:unhideWhenUsed/>
    <w:rsid w:val="00326F90"/>
    <w:pPr>
      <w:ind w:left="1080" w:hanging="360"/>
      <w:contextualSpacing/>
    </w:pPr>
    <w:rPr>
      <w:rFonts w:ascii="Arial" w:hAnsi="Arial"/>
      <w:color w:val="000000"/>
      <w:sz w:val="24"/>
    </w:rPr>
  </w:style>
  <w:style w:type="paragraph" w:styleId="ListBullet">
    <w:name w:val="List Bullet"/>
    <w:basedOn w:val="Normal"/>
    <w:uiPriority w:val="99"/>
    <w:unhideWhenUsed/>
    <w:rsid w:val="00326F90"/>
    <w:pPr>
      <w:numPr>
        <w:numId w:val="1"/>
      </w:numPr>
      <w:contextualSpacing/>
    </w:pPr>
    <w:rPr>
      <w:rFonts w:ascii="Arial" w:hAnsi="Arial"/>
      <w:color w:val="000000"/>
      <w:sz w:val="24"/>
    </w:rPr>
  </w:style>
  <w:style w:type="paragraph" w:styleId="ListBullet2">
    <w:name w:val="List Bullet 2"/>
    <w:basedOn w:val="Normal"/>
    <w:uiPriority w:val="99"/>
    <w:unhideWhenUsed/>
    <w:rsid w:val="00326F90"/>
    <w:pPr>
      <w:numPr>
        <w:numId w:val="2"/>
      </w:numPr>
      <w:contextualSpacing/>
    </w:pPr>
    <w:rPr>
      <w:rFonts w:ascii="Arial" w:hAnsi="Arial"/>
      <w:color w:val="000000"/>
      <w:sz w:val="24"/>
    </w:rPr>
  </w:style>
  <w:style w:type="paragraph" w:styleId="ListBullet3">
    <w:name w:val="List Bullet 3"/>
    <w:basedOn w:val="Normal"/>
    <w:uiPriority w:val="99"/>
    <w:unhideWhenUsed/>
    <w:rsid w:val="00326F90"/>
    <w:pPr>
      <w:numPr>
        <w:numId w:val="3"/>
      </w:numPr>
      <w:contextualSpacing/>
    </w:pPr>
    <w:rPr>
      <w:rFonts w:ascii="Arial" w:hAnsi="Arial"/>
      <w:color w:val="000000"/>
      <w:sz w:val="24"/>
    </w:rPr>
  </w:style>
  <w:style w:type="paragraph" w:styleId="ListNumber">
    <w:name w:val="List Number"/>
    <w:basedOn w:val="Normal"/>
    <w:uiPriority w:val="99"/>
    <w:unhideWhenUsed/>
    <w:rsid w:val="00326F90"/>
    <w:pPr>
      <w:numPr>
        <w:numId w:val="5"/>
      </w:numPr>
      <w:contextualSpacing/>
    </w:pPr>
    <w:rPr>
      <w:rFonts w:ascii="Arial" w:hAnsi="Arial"/>
      <w:color w:val="000000"/>
      <w:sz w:val="24"/>
    </w:rPr>
  </w:style>
  <w:style w:type="paragraph" w:styleId="ListNumber2">
    <w:name w:val="List Number 2"/>
    <w:basedOn w:val="Normal"/>
    <w:uiPriority w:val="99"/>
    <w:unhideWhenUsed/>
    <w:rsid w:val="0029639D"/>
    <w:pPr>
      <w:numPr>
        <w:numId w:val="6"/>
      </w:numPr>
      <w:contextualSpacing/>
    </w:pPr>
    <w:rPr>
      <w:rFonts w:ascii="Arial" w:hAnsi="Arial"/>
      <w:color w:val="000000"/>
      <w:sz w:val="24"/>
    </w:rPr>
  </w:style>
  <w:style w:type="paragraph" w:styleId="ListNumber3">
    <w:name w:val="List Number 3"/>
    <w:basedOn w:val="Normal"/>
    <w:uiPriority w:val="99"/>
    <w:unhideWhenUsed/>
    <w:rsid w:val="0029639D"/>
    <w:pPr>
      <w:numPr>
        <w:numId w:val="7"/>
      </w:numPr>
      <w:contextualSpacing/>
    </w:pPr>
    <w:rPr>
      <w:rFonts w:ascii="Arial" w:hAnsi="Arial"/>
      <w:color w:val="000000"/>
      <w:sz w:val="24"/>
    </w:rPr>
  </w:style>
  <w:style w:type="paragraph" w:styleId="ListContinue">
    <w:name w:val="List Continue"/>
    <w:basedOn w:val="Normal"/>
    <w:uiPriority w:val="99"/>
    <w:unhideWhenUsed/>
    <w:rsid w:val="0029639D"/>
    <w:pPr>
      <w:spacing w:after="120"/>
      <w:ind w:left="360"/>
      <w:contextualSpacing/>
    </w:pPr>
    <w:rPr>
      <w:rFonts w:ascii="Arial" w:hAnsi="Arial"/>
      <w:color w:val="000000"/>
      <w:sz w:val="24"/>
    </w:rPr>
  </w:style>
  <w:style w:type="paragraph" w:styleId="ListContinue2">
    <w:name w:val="List Continue 2"/>
    <w:basedOn w:val="Normal"/>
    <w:uiPriority w:val="99"/>
    <w:unhideWhenUsed/>
    <w:rsid w:val="0029639D"/>
    <w:pPr>
      <w:spacing w:after="120"/>
      <w:ind w:left="720"/>
      <w:contextualSpacing/>
    </w:pPr>
    <w:rPr>
      <w:rFonts w:ascii="Arial" w:hAnsi="Arial"/>
      <w:color w:val="000000"/>
      <w:sz w:val="24"/>
    </w:rPr>
  </w:style>
  <w:style w:type="paragraph" w:styleId="ListContinue3">
    <w:name w:val="List Continue 3"/>
    <w:basedOn w:val="Normal"/>
    <w:uiPriority w:val="99"/>
    <w:unhideWhenUsed/>
    <w:rsid w:val="0029639D"/>
    <w:pPr>
      <w:spacing w:after="120"/>
      <w:ind w:left="1080"/>
      <w:contextualSpacing/>
    </w:pPr>
    <w:rPr>
      <w:rFonts w:ascii="Arial" w:hAnsi="Arial"/>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Nexly documentação técnica e funcional</dc:title>
  <dc:subject>Revisão técnica de 23 de outubro de 2026</dc:subject>
  <dc:creator>NexusTech — equipe Nexly</dc:creator>
  <cp:keywords/>
  <dc:description>generated by python-docx</dc:description>
  <cp:lastModifiedBy/>
  <cp:revision>1</cp:revision>
  <dcterms:created xsi:type="dcterms:W3CDTF">2026-10-23T16:01:33Z</dcterms:created>
  <dcterms:modified xsi:type="dcterms:W3CDTF">2026-10-23T16:01:33Z</dcterms:modified>
  <cp:category/>
</cp:coreProperties>
</file>