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/>
        <w:ind w:firstLine="0"/>
        <w:jc w:val="center"/>
      </w:pPr>
      <w:r>
        <w:rPr>
          <w:b/>
        </w:rPr>
        <w:t>ESCOLA SENAI “A. JACOB LAFER”</w:t>
      </w:r>
    </w:p>
    <w:p>
      <w:pPr>
        <w:keepNext w:val="0"/>
        <w:spacing w:before="0"/>
        <w:ind w:firstLine="0"/>
        <w:jc w:val="center"/>
      </w:pPr>
      <w:r>
        <w:rPr>
          <w:b/>
        </w:rPr>
        <w:t>TÉCNICO EM DESENVOLVIMENTO DE SISTEMAS</w:t>
      </w:r>
    </w:p>
    <w:p>
      <w:pPr>
        <w:keepNext w:val="0"/>
        <w:spacing w:before="560"/>
        <w:ind w:firstLine="0"/>
        <w:jc w:val="center"/>
      </w:pPr>
      <w:r>
        <w:rPr>
          <w:b/>
        </w:rPr>
        <w:t>BRENO OLIVEIRA</w:t>
      </w:r>
    </w:p>
    <w:p>
      <w:pPr>
        <w:keepNext w:val="0"/>
        <w:spacing w:before="0"/>
        <w:ind w:firstLine="0"/>
        <w:jc w:val="center"/>
      </w:pPr>
      <w:r>
        <w:rPr>
          <w:b/>
        </w:rPr>
        <w:t>FELIPE BERTACO</w:t>
      </w:r>
    </w:p>
    <w:p>
      <w:pPr>
        <w:keepNext w:val="0"/>
        <w:spacing w:before="0"/>
        <w:ind w:firstLine="0"/>
        <w:jc w:val="center"/>
      </w:pPr>
      <w:r>
        <w:rPr>
          <w:b/>
        </w:rPr>
        <w:t>GUSTAVO BARRETO</w:t>
      </w:r>
    </w:p>
    <w:p>
      <w:pPr>
        <w:keepNext w:val="0"/>
        <w:spacing w:before="0"/>
        <w:ind w:firstLine="0"/>
        <w:jc w:val="center"/>
      </w:pPr>
      <w:r>
        <w:rPr>
          <w:b/>
        </w:rPr>
        <w:t>MARIANA NASCIMENTO</w:t>
      </w:r>
    </w:p>
    <w:p>
      <w:pPr>
        <w:keepNext w:val="0"/>
        <w:spacing w:before="0"/>
        <w:ind w:firstLine="0"/>
        <w:jc w:val="center"/>
      </w:pPr>
      <w:r>
        <w:rPr>
          <w:b/>
        </w:rPr>
        <w:t>VINÍCIUS VILA NOVA</w:t>
      </w:r>
    </w:p>
    <w:p>
      <w:pPr>
        <w:pStyle w:val="Title"/>
        <w:keepNext w:val="0"/>
        <w:spacing w:before="2000"/>
        <w:ind w:firstLine="0"/>
        <w:jc w:val="center"/>
      </w:pPr>
      <w:r>
        <w:rPr>
          <w:b/>
        </w:rPr>
        <w:t>NEXLY PLANO DE TESTES DE SOFTWARE E MATRIZ GOT</w:t>
      </w:r>
    </w:p>
    <w:p>
      <w:pPr>
        <w:keepNext w:val="0"/>
        <w:spacing w:before="7000"/>
        <w:ind w:firstLine="0"/>
        <w:jc w:val="center"/>
      </w:pPr>
      <w:r>
        <w:rPr>
          <w:b/>
        </w:rPr>
        <w:t>SANTO ANDRÉ</w:t>
      </w:r>
    </w:p>
    <w:p>
      <w:pPr>
        <w:keepNext w:val="0"/>
        <w:spacing w:before="0"/>
        <w:ind w:firstLine="0"/>
        <w:jc w:val="center"/>
      </w:pPr>
      <w:r>
        <w:rPr>
          <w:b/>
        </w:rPr>
        <w:t>2026</w:t>
      </w:r>
    </w:p>
    <w:p>
      <w:pPr>
        <w:sectPr>
          <w:headerReference w:type="default" r:id="rId9"/>
          <w:pgSz w:w="11906" w:h="16838"/>
          <w:pgMar w:top="1701" w:right="1134" w:bottom="1134" w:left="1701" w:header="850" w:footer="680" w:gutter="0"/>
          <w:cols w:space="720"/>
          <w:docGrid w:linePitch="360"/>
        </w:sectPr>
      </w:pPr>
    </w:p>
    <w:p>
      <w:pPr>
        <w:keepNext w:val="0"/>
        <w:spacing w:before="0"/>
        <w:ind w:firstLine="0"/>
        <w:jc w:val="center"/>
      </w:pPr>
      <w:r>
        <w:rPr>
          <w:b/>
        </w:rPr>
        <w:t>BRENO OLIVEIRA</w:t>
      </w:r>
    </w:p>
    <w:p>
      <w:pPr>
        <w:keepNext w:val="0"/>
        <w:spacing w:before="0"/>
        <w:ind w:firstLine="0"/>
        <w:jc w:val="center"/>
      </w:pPr>
      <w:r>
        <w:rPr>
          <w:b/>
        </w:rPr>
        <w:t>FELIPE BERTACO</w:t>
      </w:r>
    </w:p>
    <w:p>
      <w:pPr>
        <w:keepNext w:val="0"/>
        <w:spacing w:before="0"/>
        <w:ind w:firstLine="0"/>
        <w:jc w:val="center"/>
      </w:pPr>
      <w:r>
        <w:rPr>
          <w:b/>
        </w:rPr>
        <w:t>GUSTAVO BARRETO</w:t>
      </w:r>
    </w:p>
    <w:p>
      <w:pPr>
        <w:keepNext w:val="0"/>
        <w:spacing w:before="0"/>
        <w:ind w:firstLine="0"/>
        <w:jc w:val="center"/>
      </w:pPr>
      <w:r>
        <w:rPr>
          <w:b/>
        </w:rPr>
        <w:t>MARIANA NASCIMENTO</w:t>
      </w:r>
    </w:p>
    <w:p>
      <w:pPr>
        <w:keepNext w:val="0"/>
        <w:spacing w:before="0"/>
        <w:ind w:firstLine="0"/>
        <w:jc w:val="center"/>
      </w:pPr>
      <w:r>
        <w:rPr>
          <w:b/>
        </w:rPr>
        <w:t>VINÍCIUS VILA NOVA</w:t>
      </w:r>
    </w:p>
    <w:p>
      <w:pPr>
        <w:pStyle w:val="Title"/>
        <w:keepNext w:val="0"/>
        <w:spacing w:before="1600"/>
        <w:ind w:firstLine="0"/>
        <w:jc w:val="center"/>
      </w:pPr>
      <w:r>
        <w:rPr>
          <w:b/>
        </w:rPr>
        <w:t>NEXLY PLANO DE TESTES DE SOFTWARE E MATRIZ GOT</w:t>
      </w:r>
    </w:p>
    <w:p>
      <w:pPr>
        <w:spacing w:line="240" w:lineRule="auto" w:before="1100"/>
        <w:ind w:left="4535" w:firstLine="0"/>
      </w:pPr>
      <w:r>
        <w:t>Documentação do projeto Nexly apresentada ao curso Técnico em Desenvolvimento de Sistemas da Escola SENAI “A. Jacob Lafer”, como registro do desenvolvimento da plataforma. Orientadores: Prof. Raul Lopes e Prof. Paulo Camargo.</w:t>
      </w:r>
    </w:p>
    <w:p>
      <w:pPr>
        <w:keepNext w:val="0"/>
        <w:spacing w:before="6000"/>
        <w:ind w:firstLine="0"/>
        <w:jc w:val="center"/>
      </w:pPr>
      <w:r>
        <w:rPr>
          <w:b/>
        </w:rPr>
        <w:t>SANTO ANDRÉ</w:t>
      </w:r>
    </w:p>
    <w:p>
      <w:pPr>
        <w:keepNext w:val="0"/>
        <w:spacing w:before="0"/>
        <w:ind w:firstLine="0"/>
        <w:jc w:val="center"/>
      </w:pPr>
      <w:r>
        <w:rPr>
          <w:b/>
        </w:rPr>
        <w:t>2026</w:t>
      </w:r>
    </w:p>
    <w:p>
      <w:pPr>
        <w:keepNext w:val="0"/>
        <w:pageBreakBefore/>
        <w:spacing w:before="0"/>
        <w:ind w:firstLine="0"/>
        <w:jc w:val="center"/>
      </w:pPr>
      <w:r>
        <w:rPr>
          <w:b/>
        </w:rPr>
        <w:t>SUMÁRIO</w:t>
      </w:r>
    </w:p>
    <w:p>
      <w:pPr/>
      <w:r>
        <w:fldChar w:fldCharType="begin"/>
      </w:r>
      <w:r>
        <w:instrText>TOC \o "1-2" \h \z \u</w:instrText>
      </w:r>
      <w:r>
        <w:fldChar w:fldCharType="separate"/>
      </w:r>
      <w:r>
        <w:t/>
      </w:r>
    </w:p>
    <w:p>
      <w:pPr>
        <w:tabs>
          <w:tab w:pos="9071" w:val="right" w:leader="dot"/>
        </w:tabs>
        <w:spacing w:line="360" w:lineRule="auto"/>
        <w:ind w:firstLine="0" w:left="0"/>
      </w:pPr>
      <w:r>
        <w:t>1 PLANO DE TESTES DE SOFTWARE E GOT</w:t>
        <w:tab/>
      </w:r>
      <w:r>
        <w:fldChar w:fldCharType="begin"/>
      </w:r>
      <w:r>
        <w:instrText>PAGEREF sec1 \h</w:instrText>
      </w:r>
      <w:r>
        <w:fldChar w:fldCharType="separate"/>
      </w:r>
      <w:r>
        <w:t>3</w:t>
      </w:r>
      <w:r>
        <w:fldChar w:fldCharType="end"/>
      </w:r>
    </w:p>
    <w:p>
      <w:pPr>
        <w:tabs>
          <w:tab w:pos="9071" w:val="right" w:leader="dot"/>
        </w:tabs>
        <w:spacing w:line="360" w:lineRule="auto"/>
        <w:ind w:firstLine="0" w:left="283"/>
      </w:pPr>
      <w:r>
        <w:t>1.1 Objetivo e ambiente</w:t>
        <w:tab/>
      </w:r>
      <w:r>
        <w:fldChar w:fldCharType="begin"/>
      </w:r>
      <w:r>
        <w:instrText>PAGEREF sec2 \h</w:instrText>
      </w:r>
      <w:r>
        <w:fldChar w:fldCharType="separate"/>
      </w:r>
      <w:r>
        <w:t>3</w:t>
      </w:r>
      <w:r>
        <w:fldChar w:fldCharType="end"/>
      </w:r>
    </w:p>
    <w:p>
      <w:pPr>
        <w:tabs>
          <w:tab w:pos="9071" w:val="right" w:leader="dot"/>
        </w:tabs>
        <w:spacing w:line="360" w:lineRule="auto"/>
        <w:ind w:firstLine="0" w:left="283"/>
      </w:pPr>
      <w:r>
        <w:t>1.2 Matriz GOT</w:t>
        <w:tab/>
      </w:r>
      <w:r>
        <w:fldChar w:fldCharType="begin"/>
      </w:r>
      <w:r>
        <w:instrText>PAGEREF sec3 \h</w:instrText>
      </w:r>
      <w:r>
        <w:fldChar w:fldCharType="separate"/>
      </w:r>
      <w:r>
        <w:t>3</w:t>
      </w:r>
      <w:r>
        <w:fldChar w:fldCharType="end"/>
      </w:r>
    </w:p>
    <w:p>
      <w:pPr>
        <w:tabs>
          <w:tab w:pos="9071" w:val="right" w:leader="dot"/>
        </w:tabs>
        <w:spacing w:line="360" w:lineRule="auto"/>
        <w:ind w:firstLine="0" w:left="283"/>
      </w:pPr>
      <w:r>
        <w:t>1.3 Como executar</w:t>
        <w:tab/>
      </w:r>
      <w:r>
        <w:fldChar w:fldCharType="begin"/>
      </w:r>
      <w:r>
        <w:instrText>PAGEREF sec4 \h</w:instrText>
      </w:r>
      <w:r>
        <w:fldChar w:fldCharType="separate"/>
      </w:r>
      <w:r>
        <w:t>5</w:t>
      </w:r>
      <w:r>
        <w:fldChar w:fldCharType="end"/>
      </w:r>
    </w:p>
    <w:p>
      <w:pPr>
        <w:tabs>
          <w:tab w:pos="9071" w:val="right" w:leader="dot"/>
        </w:tabs>
        <w:spacing w:line="360" w:lineRule="auto"/>
        <w:ind w:firstLine="0" w:left="283"/>
      </w:pPr>
      <w:r>
        <w:t>1.4 Registro de evidências</w:t>
        <w:tab/>
      </w:r>
      <w:r>
        <w:fldChar w:fldCharType="begin"/>
      </w:r>
      <w:r>
        <w:instrText>PAGEREF sec5 \h</w:instrText>
      </w:r>
      <w:r>
        <w:fldChar w:fldCharType="separate"/>
      </w:r>
      <w:r>
        <w:t>6</w:t>
      </w:r>
      <w:r>
        <w:fldChar w:fldCharType="end"/>
      </w:r>
    </w:p>
    <w:p>
      <w:pPr>
        <w:tabs>
          <w:tab w:pos="9071" w:val="right" w:leader="dot"/>
        </w:tabs>
        <w:spacing w:line="360" w:lineRule="auto"/>
        <w:ind w:firstLine="0" w:left="283"/>
      </w:pPr>
      <w:r>
        <w:t>1.5 Critérios de liberação</w:t>
        <w:tab/>
      </w:r>
      <w:r>
        <w:fldChar w:fldCharType="begin"/>
      </w:r>
      <w:r>
        <w:instrText>PAGEREF sec6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sectPr>
          <w:headerReference w:type="default" r:id="rId10"/>
          <w:pgSz w:w="11906" w:h="16838"/>
          <w:pgMar w:top="1701" w:right="1134" w:bottom="1134" w:left="1701" w:header="850" w:footer="680" w:gutter="0"/>
          <w:cols w:space="720"/>
          <w:docGrid w:linePitch="360"/>
          <w:pgNumType w:start="1"/>
        </w:sectPr>
      </w:pPr>
    </w:p>
    <w:p>
      <w:bookmarkStart w:id="1" w:name="sec1"/>
      <w:pPr>
        <w:pStyle w:val="Heading1"/>
      </w:pPr>
      <w:r>
        <w:t>1 PLANO DE TESTES DE SOFTWARE E GOT</w:t>
      </w:r>
      <w:bookmarkEnd w:id="1"/>
    </w:p>
    <w:p>
      <w:bookmarkStart w:id="2" w:name="sec2"/>
      <w:pPr>
        <w:pStyle w:val="Heading2"/>
      </w:pPr>
      <w:r>
        <w:t>1.1 Objetivo e ambiente</w:t>
      </w:r>
      <w:bookmarkEnd w:id="2"/>
    </w:p>
    <w:p>
      <w:pPr>
        <w:jc w:val="both"/>
      </w:pPr>
      <w:r>
        <w:t>Verificar se uma pessoa consegue operar o Nexly, se as regras preservam os registros e se cada empresa e perfil acessa somente os recursos permitidos. Jest verifica regras da API; Playwright percorre páginas e integrações locais. Fixtures reais usam banco de teste e limpeza ao final. Dublês de Google, Stripe e comunicação precisam estar identificados.</w:t>
      </w:r>
    </w:p>
    <w:p>
      <w:pPr>
        <w:jc w:val="both"/>
      </w:pPr>
      <w:r>
        <w:t>Não use banco de produção, credenciais live ou dados pessoais reais nas fixtures. Um teste aprovado prova o cenário e as condições executadas, sem garantir ausência de qualquer falha no sistema.</w:t>
      </w:r>
    </w:p>
    <w:p>
      <w:bookmarkStart w:id="3" w:name="sec3"/>
      <w:pPr>
        <w:pStyle w:val="Heading2"/>
      </w:pPr>
      <w:r>
        <w:t>1.2 Matriz GOT</w:t>
      </w:r>
      <w:bookmarkEnd w:id="3"/>
    </w:p>
    <w:p>
      <w:pPr>
        <w:jc w:val="both"/>
      </w:pPr>
      <w:r>
        <w:t>A matriz organiza o grupo, a operação e o teste esperado, com identificadores para acompanhar revisão e evidência. Critérios descrevem comportamento esperado; não são resultados automaticamente aprovados.</w:t>
      </w:r>
    </w:p>
    <w:p>
      <w:pPr>
        <w:keepNext/>
        <w:spacing w:line="240" w:lineRule="auto" w:before="120" w:after="120"/>
        <w:ind w:firstLine="0"/>
        <w:jc w:val="center"/>
      </w:pPr>
      <w:r>
        <w:rPr>
          <w:sz w:val="20"/>
        </w:rPr>
        <w:t>Quadro 1 – Matriz de testes GOT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3781"/>
        <w:gridCol w:w="8542"/>
      </w:tblGrid>
      <w:tr>
        <w:trPr>
          <w:tblHeader/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/>
                <w:sz w:val="20"/>
              </w:rPr>
              <w:t>Grupo e operação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/>
                <w:sz w:val="20"/>
              </w:rPr>
              <w:t>Procedimento e resultado esperado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CT01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Cadastro e presets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Percorrer cinco etapas; salvar módulos válidos e termos sem sobreposição de controles.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CT02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Validação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Enviar campos inválidos; erro associado ao campo e nenhuma gravação parcial indevida.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CT03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Login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Credenciais válidas abrem painel; inválidas não expõem dados ou senha.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CT04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Sessão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Renovar token e repetir concorrência; preservar sessão válida e rejeitar reuso indevido.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CT05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Segundo fator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Ativar TOTP; exigir desafio e impedir repetição de código consumido.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CT06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Recuperação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Sem provedor, informar indisponibilidade; com dublê, manter token cifrado e de uso único.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CT07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Integridade criptográfica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Truncar tag AES-GCM para 4, 12 e 15 bytes; rejeitar antes da operação protegida.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CT08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Google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Validar token e vínculo; rejeitar declarações incorretas e associação sem prova local.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CT09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Isolamento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Criar duas empresas; leitura e alteração de recurso alheio são recusadas.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CT10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Perfis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Acessar rotas financeiras com recepcionista; não retornar dados financeiros.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CT11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Clientes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Criar, localizar, editar e consultar histórico sem perder contexto.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CT12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Profissionais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Atingir limite ativo do plano; nova ativação é recusada com retorno compreensível.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CT13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Agenda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Marcar horários sobrepostos para o mesmo profissional; impedir conflito.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CT14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Fuso horário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Usar instantes próximos à meia-noite; respeitar dia e expediente da empresa.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CT15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Atendimento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Concluir serviço com insumos; registrar baixa e impedir duplicação por repetição.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CT16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Estoque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Executar operações concorrentes; preservar saldo e histórico de movimentos.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CT17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PDV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Finalizar venda e repetir solicitação; consistência entre itens, total e estoque.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CT18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Compras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Receber pedido; refletir entradas e valores segundo regras implementadas.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CT19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Financeiro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Filtrar período, liquidar parcialmente e consultar saldo sem dupla contagem.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CT20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Alertas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Excluir contas pagas/canceladas, incluir parciais e abrir período correto.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CT21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Comissões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Consultar histórico e alterações sem confundir cálculo com pagamento bancário.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CT22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Operação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Usar tarefas, filiais, documentos, recorrências e automações com permissão.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CT23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Importação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Testar CSV, BOM, aspas, duplicados e estrutura inválida; rejeitar ambiguidades.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CT24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Exportação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Respeitar empresa, permissão e cota; arquivo não é salvo na documentação pública.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CT25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Assinaturas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No Sandbox, criar Checkout; mudança de plano depende de confirmação confiável.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CT26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Webhook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Repetir evento e assinatura inválida; idempotência e rejeição de adulteração.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CT27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Páginas públicas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Logo e imagens carregam; suporte e cadastro têm destinos válidos.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CT28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Carrosséis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Percorrer 19 funcionalidades e cinco artigos por botões e teclado; sem mutações.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CT29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Responsividade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Usar 320, 390 e 1440 px; sem colisão ou excesso de largura, inclusive no gráfico.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CT30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Recuperação de erro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Simular falha de consulta; mostrar tentativa novamente sem derrubar a página.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CT31</w:t>
            </w:r>
          </w:p>
        </w:tc>
        <w:tc>
          <w:tcPr>
            <w:tcW w:type="dxa" w:w="3781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Depoimentos</w:t>
            </w:r>
          </w:p>
        </w:tc>
        <w:tc>
          <w:tcPr>
            <w:tcW w:type="dxa" w:w="8542"/>
          </w:tcPr>
          <w:p>
            <w:pPr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Publicar somente relato real autorizado; não substituir falha por recomendação fictícia.</w:t>
            </w:r>
          </w:p>
        </w:tc>
      </w:tr>
      <w:tr>
        <w:trPr>
          <w:cantSplit/>
        </w:trPr>
        <w:tc>
          <w:tcPr>
            <w:tcW w:type="dxa" w:w="1680"/>
          </w:tcPr>
          <w:p>
            <w:pPr>
              <w:keepNext/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CT32</w:t>
            </w:r>
          </w:p>
        </w:tc>
        <w:tc>
          <w:tcPr>
            <w:tcW w:type="dxa" w:w="3781"/>
          </w:tcPr>
          <w:p>
            <w:pPr>
              <w:keepNext/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Backup</w:t>
            </w:r>
          </w:p>
        </w:tc>
        <w:tc>
          <w:tcPr>
            <w:tcW w:type="dxa" w:w="8542"/>
          </w:tcPr>
          <w:p>
            <w:pPr>
              <w:keepNext/>
              <w:spacing w:line="240" w:lineRule="auto" w:after="100" w:before="100"/>
              <w:ind w:firstLine="0"/>
            </w:pPr>
            <w:r>
              <w:rPr>
                <w:b w:val="0"/>
                <w:sz w:val="20"/>
              </w:rPr>
              <w:t>Cifrar dump e restaurar em banco descartável; conferir dados e salvaguardas.</w:t>
            </w:r>
          </w:p>
        </w:tc>
      </w:tr>
    </w:tbl>
    <w:p>
      <w:pPr>
        <w:spacing w:line="240" w:lineRule="auto"/>
        <w:ind w:firstLine="0"/>
        <w:jc w:val="center"/>
      </w:pPr>
      <w:r>
        <w:rPr>
          <w:sz w:val="20"/>
        </w:rPr>
        <w:t>Fonte: elaboração dos autores com base no código do Nexly (2026).</w:t>
      </w:r>
    </w:p>
    <w:p>
      <w:bookmarkStart w:id="4" w:name="sec4"/>
      <w:pPr>
        <w:pStyle w:val="Heading2"/>
      </w:pPr>
      <w:r>
        <w:t>1.3 Como executar</w:t>
      </w:r>
      <w:bookmarkEnd w:id="4"/>
    </w:p>
    <w:p>
      <w:pPr>
        <w:spacing w:line="240" w:lineRule="auto"/>
        <w:ind w:firstLine="0"/>
      </w:pPr>
      <w:r>
        <w:rPr>
          <w:rFonts w:ascii="Consolas" w:hAnsi="Consolas"/>
          <w:sz w:val="18"/>
        </w:rPr>
        <w:t>npm test --workspace @nexly/api -- --runInBand dashboard</w:t>
      </w:r>
    </w:p>
    <w:p>
      <w:pPr>
        <w:spacing w:line="240" w:lineRule="auto"/>
        <w:ind w:firstLine="0"/>
      </w:pPr>
      <w:r>
        <w:rPr>
          <w:rFonts w:ascii="Consolas" w:hAnsi="Consolas"/>
          <w:sz w:val="18"/>
        </w:rPr>
        <w:t>npm test --workspace @nexly/api -- --runInBand rotation-response recuperacao.service token.service</w:t>
      </w:r>
    </w:p>
    <w:p>
      <w:pPr>
        <w:spacing w:line="240" w:lineRule="auto"/>
        <w:ind w:firstLine="0"/>
      </w:pPr>
      <w:r>
        <w:rPr>
          <w:rFonts w:ascii="Consolas" w:hAnsi="Consolas"/>
          <w:sz w:val="18"/>
        </w:rPr>
        <w:t>npm run typecheck:e2e</w:t>
      </w:r>
    </w:p>
    <w:p>
      <w:pPr>
        <w:spacing w:line="240" w:lineRule="auto"/>
        <w:ind w:firstLine="0"/>
      </w:pPr>
      <w:r>
        <w:rPr>
          <w:rFonts w:ascii="Consolas" w:hAnsi="Consolas"/>
          <w:sz w:val="18"/>
        </w:rPr>
        <w:t>npx playwright test e2e/smoke/conversion.spec.ts e2e/smoke/dashboard-alerts.spec.ts --workers=1</w:t>
      </w:r>
    </w:p>
    <w:p>
      <w:pPr>
        <w:jc w:val="both"/>
      </w:pPr>
      <w:r>
        <w:t>O CI fornece PostgreSQL e Redis de teste, prepara schema, seed, builds e Chromium. Localmente, prepare as mesmas dependências e as variáveis das fixtures. As proteções dos scripts devem confirmar banco local ou descartável antes de cenários que alteram dados.</w:t>
      </w:r>
    </w:p>
    <w:p>
      <w:bookmarkStart w:id="5" w:name="sec5"/>
      <w:pPr>
        <w:pStyle w:val="Heading2"/>
      </w:pPr>
      <w:r>
        <w:t>1.4 Registro de evidências</w:t>
      </w:r>
      <w:bookmarkEnd w:id="5"/>
    </w:p>
    <w:p>
      <w:pPr>
        <w:jc w:val="both"/>
      </w:pPr>
      <w:r>
        <w:t>Registre commit, data, ambiente, comando, resultado e eventual falha. Falha deve ser corrigida ou permanecer identificada como pendência. Capturas, traces, exports e relatórios vão para test-results ou os diretórios ignorados do Playwright, sem publicação de conteúdo de clientes.</w:t>
      </w:r>
    </w:p>
    <w:p>
      <w:pPr>
        <w:jc w:val="both"/>
      </w:pPr>
      <w:r>
        <w:t>Na revisão de 21–22/10/2026, passaram 14 testes de dashboard, 34 de recuperação/rotação/token e 28 cenários de navegador selecionados após correções. Dez verificações adicionais das páginas públicas em produção, em desktop e celular, confirmaram imagens e navegação sem erro de JavaScript. Esses números descrevem execuções daquela revisão, sem representar o tamanho permanente de toda a suíte.</w:t>
      </w:r>
    </w:p>
    <w:p>
      <w:pPr>
        <w:jc w:val="both"/>
      </w:pPr>
      <w:r>
        <w:t>O CI completo registrou 101 de 102 cenários aprovados antes de corrigir um seletor antigo: a seção de primeiros passos passou a exigir expansão. O cenário comercial corrigido passou localmente. Em 23/10, foi conferido também o resultado do workflow E2E do commit 7b82af9: concluído com sucesso. Os testes da API e Semgrep desse commit também passaram; o audit das ferramentas permaneceu com falha. Consulte o CI atual para resultados de versões posteriores.</w:t>
      </w:r>
    </w:p>
    <w:p>
      <w:bookmarkStart w:id="6" w:name="sec6"/>
      <w:pPr>
        <w:pStyle w:val="Heading2"/>
      </w:pPr>
      <w:r>
        <w:t>1.5 Critérios de liberação</w:t>
      </w:r>
      <w:bookmarkEnd w:id="6"/>
    </w:p>
    <w:p>
      <w:pPr>
        <w:jc w:val="both"/>
      </w:pPr>
      <w:r>
        <w:t>Identidade visual consistente, jornadas afetadas verificadas, regras financeiras e de estoque preservadas, isolamento e permissões respeitados, migrações coerentes, segredos ausentes do diff, build e verificações relevantes aprovados. A liberação comercial também depende das configurações externas descritas em Operação.</w:t>
      </w:r>
    </w:p>
    <w:p>
      <w:pPr>
        <w:jc w:val="both"/>
      </w:pPr>
      <w:r>
        <w:t>Este plano operacional utiliza A4 em paisagem no corpo para permitir leitura da matriz. Os cenários são critérios de verificação, não carimbos de aprovação. O resultado de cada execução deve ser registrado por commit e ambiente.</w:t>
      </w:r>
    </w:p>
    <w:sectPr w:rsidR="00FC693F" w:rsidRPr="0006063C" w:rsidSect="00034616">
      <w:headerReference w:type="default" r:id="rId11"/>
      <w:pgSz w:w="16838" w:h="11906" w:orient="landscape"/>
      <w:pgMar w:top="1701" w:right="1134" w:bottom="1134" w:left="1701" w:header="85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60" w:after="240" w:line="360" w:lineRule="auto"/>
      <w:ind w:firstLine="0"/>
      <w:outlineLvl w:val="0"/>
    </w:pPr>
    <w:rPr>
      <w:rFonts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 w:line="360" w:lineRule="auto"/>
      <w:ind w:firstLine="0"/>
      <w:outlineLvl w:val="1"/>
    </w:pPr>
    <w:rPr>
      <w:rFonts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240" w:line="360" w:lineRule="auto"/>
      <w:ind w:firstLine="0"/>
      <w:outlineLvl w:val="2"/>
    </w:pPr>
    <w:rPr>
      <w:rFonts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Nexly plano de testes de software e matriz GOT</dc:title>
  <dc:subject>Revisão técnica de 23 de outubro de 2026</dc:subject>
  <dc:creator>NexusTech — equipe Nexly</dc:creator>
  <cp:keywords/>
  <dc:description>generated by python-docx</dc:description>
  <cp:lastModifiedBy/>
  <cp:revision>1</cp:revision>
  <dcterms:created xsi:type="dcterms:W3CDTF">2026-10-23T16:01:34Z</dcterms:created>
  <dcterms:modified xsi:type="dcterms:W3CDTF">2026-10-23T16:01:34Z</dcterms:modified>
  <cp:category/>
</cp:coreProperties>
</file>