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0" w:before="0" w:line="240" w:lineRule="auto"/>
        <w:jc w:val="center"/>
        <w:rPr/>
      </w:pPr>
      <w:r w:rsidDel="00000000" w:rsidR="00000000" w:rsidRPr="00000000">
        <w:rPr/>
        <w:drawing>
          <wp:inline distB="0" distT="0" distL="0" distR="0">
            <wp:extent cx="1428750" cy="361950"/>
            <wp:effectExtent b="0" l="0" r="0" t="0"/>
            <wp:docPr id="1" name="image1.jpg"/>
            <a:graphic>
              <a:graphicData uri="http://schemas.openxmlformats.org/drawingml/2006/picture">
                <pic:pic>
                  <pic:nvPicPr>
                    <pic:cNvPr id="0" name="image1.jp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428750" cy="3619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0" w:before="0" w:line="360" w:lineRule="auto"/>
        <w:jc w:val="center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1"/>
          <w:rtl w:val="0"/>
        </w:rPr>
        <w:t xml:space="preserve">ESCOLA SENAI “A. JACOB LAFER”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0" w:before="0" w:line="360" w:lineRule="auto"/>
        <w:jc w:val="center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1"/>
          <w:rtl w:val="0"/>
        </w:rPr>
        <w:t xml:space="preserve">TÉCNICO EM DESENVOLVIMENTO DE SISTEMAS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0" w:before="0" w:line="360" w:lineRule="auto"/>
        <w:jc w:val="center"/>
        <w:rPr/>
      </w:pPr>
      <w:r w:rsidDel="00000000" w:rsidR="00000000" w:rsidRPr="00000000">
        <w:rPr>
          <w:b w:val="1"/>
          <w:bCs w:val="1"/>
          <w:smallCaps w:val="1"/>
          <w:rtl w:val="0"/>
        </w:rPr>
        <w:t xml:space="preserve">BRENO JOSÉ DE OLIVEIRA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0" w:before="0" w:line="360" w:lineRule="auto"/>
        <w:jc w:val="center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1"/>
          <w:rtl w:val="0"/>
        </w:rPr>
        <w:t xml:space="preserve">ÉTICA, SEGURANÇA DIGITAL E IMPLICAÇÕES LEGAIS: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after="0" w:before="0" w:line="360" w:lineRule="auto"/>
        <w:jc w:val="center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1"/>
          <w:rtl w:val="0"/>
        </w:rPr>
        <w:t xml:space="preserve">LEI 12.737/2012 E LGPD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after="0" w:before="0" w:line="360" w:lineRule="auto"/>
        <w:jc w:val="center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rtl w:val="0"/>
        </w:rPr>
        <w:t xml:space="preserve">SANTO ANDRÉ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after="0" w:before="0" w:line="360" w:lineRule="auto"/>
        <w:jc w:val="center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rtl w:val="0"/>
        </w:rPr>
        <w:t xml:space="preserve">2026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023">
      <w:pPr>
        <w:jc w:val="center"/>
        <w:rPr/>
      </w:pPr>
      <w:r w:rsidDel="00000000" w:rsidR="00000000" w:rsidRPr="00000000">
        <w:rPr>
          <w:b w:val="1"/>
          <w:bCs w:val="1"/>
          <w:smallCaps w:val="1"/>
          <w:rtl w:val="0"/>
        </w:rPr>
        <w:t xml:space="preserve">BRENO JOSÉ DE OLIVEIRA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spacing w:after="0" w:before="0" w:line="360" w:lineRule="auto"/>
        <w:jc w:val="center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1"/>
          <w:rtl w:val="0"/>
        </w:rPr>
        <w:t xml:space="preserve">ÉTICA, SEGURANÇA DIGITAL E IMPLICAÇÕES LEGAIS: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spacing w:after="0" w:before="0" w:line="360" w:lineRule="auto"/>
        <w:jc w:val="center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1"/>
          <w:rtl w:val="0"/>
        </w:rPr>
        <w:t xml:space="preserve">LEI 12.737/2012 E LGPD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spacing w:after="0" w:before="0" w:line="240" w:lineRule="auto"/>
        <w:ind w:left="4536" w:firstLine="0"/>
        <w:jc w:val="both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rtl w:val="0"/>
        </w:rPr>
        <w:t xml:space="preserve">Atividade de Compensação de Aula apresentada ao curso Técnico em Desenvolvimento de Sistemas da Escola SENAI A. Jacob Lafer, como requisito de avaliação da Unidade Curricular de Desenvolvimento de Sistemas.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spacing w:after="0" w:before="0" w:line="240" w:lineRule="auto"/>
        <w:ind w:left="4536" w:firstLine="0"/>
        <w:jc w:val="both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rtl w:val="0"/>
        </w:rPr>
        <w:t xml:space="preserve">Professores: Paulo Camargo e Raul Porto.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spacing w:after="0" w:before="0" w:line="360" w:lineRule="auto"/>
        <w:jc w:val="center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rtl w:val="0"/>
        </w:rPr>
        <w:t xml:space="preserve">SANTO ANDRÉ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spacing w:after="0" w:before="0" w:line="360" w:lineRule="auto"/>
        <w:jc w:val="center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rtl w:val="0"/>
        </w:rPr>
        <w:t xml:space="preserve">2026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040">
      <w:pPr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SUMÁRIO</w:t>
      </w:r>
    </w:p>
    <w:p w:rsidR="00000000" w:rsidDel="00000000" w:rsidP="00000000" w:rsidRDefault="00000000" w:rsidRPr="00000000" w14:paraId="00000041">
      <w:pPr>
        <w:tabs>
          <w:tab w:val="right" w:leader="none" w:pos="7938"/>
        </w:tabs>
        <w:spacing w:after="0" w:before="0" w:line="360" w:lineRule="auto"/>
        <w:jc w:val="left"/>
        <w:rPr/>
      </w:pPr>
      <w:r w:rsidDel="00000000" w:rsidR="00000000" w:rsidRPr="00000000">
        <w:rPr>
          <w:rtl w:val="0"/>
        </w:rPr>
      </w:r>
    </w:p>
    <w:sdt>
      <w:sdtPr>
        <w:id w:val="-1623197897"/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42">
          <w:pPr>
            <w:widowControl w:val="0"/>
            <w:tabs>
              <w:tab w:val="right" w:leader="dot" w:pos="12000"/>
            </w:tabs>
            <w:spacing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u w:val="none"/>
              <w:shd w:fill="auto" w:val="clear"/>
              <w:vertAlign w:val="baseline"/>
            </w:rPr>
          </w:pPr>
          <w:r w:rsidDel="00000000" w:rsidR="00000000" w:rsidRPr="00000000">
            <w:fldChar w:fldCharType="begin"/>
            <w:instrText xml:space="preserve"> TOC \h \u \z \t "Heading 1,1,Heading 2,2,Heading 3,3,Heading 4,4,Heading 5,5,Heading 6,6,"</w:instrText>
            <w:fldChar w:fldCharType="separate"/>
          </w:r>
          <w:hyperlink w:anchor="_44sh9j5hg050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0"/>
              </w:rPr>
              <w:t xml:space="preserve">1 INTRODUÇÃO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3">
          <w:pPr>
            <w:widowControl w:val="0"/>
            <w:tabs>
              <w:tab w:val="right" w:leader="dot" w:pos="12000"/>
            </w:tabs>
            <w:spacing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u w:val="none"/>
              <w:shd w:fill="auto" w:val="clear"/>
              <w:vertAlign w:val="baseline"/>
            </w:rPr>
          </w:pPr>
          <w:hyperlink w:anchor="_1rotif478im4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0"/>
              </w:rPr>
              <w:t xml:space="preserve">2 DESENVOLVIMENTO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4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u w:val="none"/>
              <w:shd w:fill="auto" w:val="clear"/>
              <w:vertAlign w:val="baseline"/>
            </w:rPr>
          </w:pPr>
          <w:hyperlink w:anchor="_9gwb9dcs2qfq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0"/>
              </w:rPr>
              <w:t xml:space="preserve">2.1 Tipificação do Crime: Lei 12.737/2012 e Lei 14.155/2021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5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u w:val="none"/>
              <w:shd w:fill="auto" w:val="clear"/>
              <w:vertAlign w:val="baseline"/>
            </w:rPr>
          </w:pPr>
          <w:hyperlink w:anchor="_42d9oybt4s0u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0"/>
              </w:rPr>
              <w:t xml:space="preserve">2.2   Responsabilidade do Desenvolvedor e a Segurança da Informação</w:t>
              <w:tab/>
              <w:t xml:space="preserve">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6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u w:val="none"/>
              <w:shd w:fill="auto" w:val="clear"/>
              <w:vertAlign w:val="baseline"/>
            </w:rPr>
          </w:pPr>
          <w:hyperlink w:anchor="_69a2af8w7es1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0"/>
              </w:rPr>
              <w:t xml:space="preserve">2.3 A Lei Geral de Proteção de Dados (LGPD) e o Tratamento de Informações</w:t>
              <w:tab/>
              <w:t xml:space="preserve">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7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u w:val="none"/>
              <w:shd w:fill="auto" w:val="clear"/>
              <w:vertAlign w:val="baseline"/>
            </w:rPr>
          </w:pPr>
          <w:hyperlink w:anchor="_imiewhwy220a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0"/>
              </w:rPr>
              <w:t xml:space="preserve">2.4 Análise Crítica: Desafios na Formação e Cultura de Segurança Digital</w:t>
              <w:tab/>
              <w:t xml:space="preserve">8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8">
          <w:pPr>
            <w:widowControl w:val="0"/>
            <w:tabs>
              <w:tab w:val="right" w:leader="dot" w:pos="12000"/>
            </w:tabs>
            <w:spacing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u w:val="none"/>
              <w:shd w:fill="auto" w:val="clear"/>
              <w:vertAlign w:val="baseline"/>
            </w:rPr>
          </w:pPr>
          <w:hyperlink w:anchor="_28r989jgx5wl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0"/>
              </w:rPr>
              <w:t xml:space="preserve">3 CONCLUSÃO</w:t>
              <w:tab/>
              <w:t xml:space="preserve">9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9">
          <w:pPr>
            <w:widowControl w:val="0"/>
            <w:tabs>
              <w:tab w:val="right" w:leader="dot" w:pos="12000"/>
            </w:tabs>
            <w:spacing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u w:val="none"/>
              <w:shd w:fill="auto" w:val="clear"/>
              <w:vertAlign w:val="baseline"/>
            </w:rPr>
          </w:pPr>
          <w:hyperlink w:anchor="_hsq1dbj08lgg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0"/>
              </w:rPr>
              <w:t xml:space="preserve">4 REFERÊNCIAS</w:t>
              <w:tab/>
              <w:t xml:space="preserve">10</w:t>
            </w:r>
          </w:hyperlink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4A">
      <w:pPr>
        <w:pStyle w:val="Heading1"/>
        <w:tabs>
          <w:tab w:val="right" w:leader="none" w:pos="7938"/>
        </w:tabs>
        <w:rPr>
          <w:sz w:val="24"/>
          <w:szCs w:val="24"/>
        </w:rPr>
      </w:pPr>
      <w:bookmarkStart w:colFirst="0" w:colLast="0" w:name="_5mcl2ugv2r3g" w:id="0"/>
      <w:bookmarkEnd w:id="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tabs>
          <w:tab w:val="right" w:leader="none" w:pos="7938"/>
        </w:tabs>
        <w:spacing w:after="0" w:before="0" w:line="360" w:lineRule="auto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tabs>
          <w:tab w:val="right" w:leader="none" w:pos="7938"/>
        </w:tabs>
        <w:spacing w:after="0" w:before="0" w:line="360" w:lineRule="auto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tabs>
          <w:tab w:val="right" w:leader="none" w:pos="7938"/>
        </w:tabs>
        <w:spacing w:after="0" w:before="0" w:line="360" w:lineRule="auto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tabs>
          <w:tab w:val="right" w:leader="none" w:pos="7938"/>
        </w:tabs>
        <w:spacing w:after="0" w:before="0" w:line="360" w:lineRule="auto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tabs>
          <w:tab w:val="right" w:leader="none" w:pos="7938"/>
        </w:tabs>
        <w:spacing w:after="0" w:before="0" w:line="360" w:lineRule="auto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tabs>
          <w:tab w:val="right" w:leader="none" w:pos="7938"/>
        </w:tabs>
        <w:spacing w:after="0" w:before="0" w:line="360" w:lineRule="auto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tabs>
          <w:tab w:val="right" w:leader="none" w:pos="7938"/>
        </w:tabs>
        <w:spacing w:after="0" w:before="0" w:line="360" w:lineRule="auto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tabs>
          <w:tab w:val="right" w:leader="none" w:pos="7938"/>
        </w:tabs>
        <w:spacing w:after="0" w:before="0" w:line="360" w:lineRule="auto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tabs>
          <w:tab w:val="right" w:leader="none" w:pos="7938"/>
        </w:tabs>
        <w:spacing w:after="0" w:before="0" w:line="360" w:lineRule="auto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tabs>
          <w:tab w:val="right" w:leader="none" w:pos="7938"/>
        </w:tabs>
        <w:spacing w:after="0" w:before="0" w:line="360" w:lineRule="auto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tabs>
          <w:tab w:val="right" w:leader="none" w:pos="7938"/>
        </w:tabs>
        <w:spacing w:after="0" w:before="0" w:line="360" w:lineRule="auto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tabs>
          <w:tab w:val="right" w:leader="none" w:pos="7938"/>
        </w:tabs>
        <w:spacing w:after="0" w:before="0" w:line="360" w:lineRule="auto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tabs>
          <w:tab w:val="right" w:leader="none" w:pos="7938"/>
        </w:tabs>
        <w:spacing w:after="0" w:before="0" w:line="360" w:lineRule="auto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tabs>
          <w:tab w:val="right" w:leader="none" w:pos="7938"/>
        </w:tabs>
        <w:spacing w:after="0" w:before="0" w:line="360" w:lineRule="auto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tabs>
          <w:tab w:val="right" w:leader="none" w:pos="7938"/>
        </w:tabs>
        <w:spacing w:after="0" w:before="0" w:line="360" w:lineRule="auto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tabs>
          <w:tab w:val="right" w:leader="none" w:pos="7938"/>
        </w:tabs>
        <w:spacing w:after="0" w:before="0" w:line="360" w:lineRule="auto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tabs>
          <w:tab w:val="right" w:leader="none" w:pos="7938"/>
        </w:tabs>
        <w:spacing w:after="0" w:before="0" w:line="360" w:lineRule="auto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tabs>
          <w:tab w:val="right" w:leader="none" w:pos="7938"/>
        </w:tabs>
        <w:spacing w:after="0" w:before="0" w:line="360" w:lineRule="auto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tabs>
          <w:tab w:val="right" w:leader="none" w:pos="7938"/>
        </w:tabs>
        <w:spacing w:after="0" w:before="0" w:line="360" w:lineRule="auto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pStyle w:val="Heading1"/>
        <w:rPr>
          <w:b w:val="1"/>
          <w:bCs w:val="1"/>
          <w:color w:val="000000"/>
          <w:sz w:val="24"/>
          <w:szCs w:val="24"/>
        </w:rPr>
      </w:pPr>
      <w:bookmarkStart w:colFirst="0" w:colLast="0" w:name="_44sh9j5hg050" w:id="1"/>
      <w:bookmarkEnd w:id="1"/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1 INTRODUÇÃO</w:t>
      </w:r>
    </w:p>
    <w:p w:rsidR="00000000" w:rsidDel="00000000" w:rsidP="00000000" w:rsidRDefault="00000000" w:rsidRPr="00000000" w14:paraId="00000062">
      <w:pPr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spacing w:after="240" w:before="240" w:lineRule="auto"/>
        <w:ind w:firstLine="720"/>
        <w:jc w:val="both"/>
        <w:rPr/>
      </w:pPr>
      <w:r w:rsidDel="00000000" w:rsidR="00000000" w:rsidRPr="00000000">
        <w:rPr>
          <w:rtl w:val="0"/>
        </w:rPr>
        <w:t xml:space="preserve">O avanço vertiginoso das tecnologias de informação e comunicação reconfigurou as dinâmicas sociais, económicas e corporativas, estabelecendo o ambiente digital como infraestrutura crítica para o funcionamento da sociedade contemporânea. Concomitantemente a essa expansão, o volume de dados processados e armazenados em rede cresceu de forma exponencial, o que atraiu a atenção de agentes maliciosos e ampliou a superfície de ataques cibernéticos. Nesse cenário, a segurança da informação transcendeu a esfera estritamente técnica para ocupar uma posição central nas discussões jurídicas e éticas no Brasil e no mundo.</w:t>
      </w:r>
    </w:p>
    <w:p w:rsidR="00000000" w:rsidDel="00000000" w:rsidP="00000000" w:rsidRDefault="00000000" w:rsidRPr="00000000" w14:paraId="00000064">
      <w:pPr>
        <w:spacing w:after="240" w:before="240" w:lineRule="auto"/>
        <w:ind w:firstLine="720"/>
        <w:jc w:val="both"/>
        <w:rPr/>
      </w:pPr>
      <w:r w:rsidDel="00000000" w:rsidR="00000000" w:rsidRPr="00000000">
        <w:rPr>
          <w:rtl w:val="0"/>
        </w:rPr>
        <w:t xml:space="preserve">Diante da necessidade de proteger o património digital, a intimidade e as comunicações dos cidadãos, o Estado brasileiro passou a estruturar um arcabouço normativo específico. Destaca-se, inicialmente, a promulgação da Lei 12.737/2012, que inaugurou a tipificação dos delitos informáticos no ordenamento jurídico nacional. Com o subsequente refinamento das fraudes eletrónicas, a Lei 14.155/2021 foi sancionada para recrudescer as penalidades aplicáveis a essas infrações. Em paralelo, a Lei Geral de Proteção de Dados Pessoais (Lei 13.709/2018 — LGPD) estabeleceu diretrizes rigorosas para o tratamento de informações sensíveis, impactando diretamente a governação corporativa.</w:t>
      </w:r>
    </w:p>
    <w:p w:rsidR="00000000" w:rsidDel="00000000" w:rsidP="00000000" w:rsidRDefault="00000000" w:rsidRPr="00000000" w14:paraId="00000065">
      <w:pPr>
        <w:spacing w:after="240" w:before="240" w:lineRule="auto"/>
        <w:ind w:firstLine="720"/>
        <w:jc w:val="both"/>
        <w:rPr/>
      </w:pPr>
      <w:r w:rsidDel="00000000" w:rsidR="00000000" w:rsidRPr="00000000">
        <w:rPr>
          <w:rtl w:val="0"/>
        </w:rPr>
        <w:t xml:space="preserve">O presente trabalho tem como objetivo analisar a intersecção entre o direito e a tecnologia, com foco nas implicações éticas e legais do desenvolvimento de software. Justifica-se a relevância desta pesquisa pela necessidade de consciencializar os futuros profissionais técnicos em Desenvolvimento de Sistemas de que a elaboração de códigos não é uma atividade neutra. O desenvolvedor atua na linha de frente da prevenção de incidentes e detém a responsabilidade direta de garantir que os sistemas projetados sejam resilientes, em conformidade com as exigências legais e pautados pelas melhores práticas de segurança da informação.</w:t>
      </w:r>
    </w:p>
    <w:p w:rsidR="00000000" w:rsidDel="00000000" w:rsidP="00000000" w:rsidRDefault="00000000" w:rsidRPr="00000000" w14:paraId="00000066">
      <w:pPr>
        <w:spacing w:after="0" w:before="0" w:line="360" w:lineRule="auto"/>
        <w:ind w:firstLine="708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pStyle w:val="Heading1"/>
        <w:jc w:val="both"/>
        <w:rPr>
          <w:b w:val="1"/>
          <w:bCs w:val="1"/>
          <w:color w:val="000000"/>
          <w:sz w:val="24"/>
          <w:szCs w:val="24"/>
        </w:rPr>
      </w:pPr>
      <w:bookmarkStart w:colFirst="0" w:colLast="0" w:name="_1rotif478im4" w:id="2"/>
      <w:bookmarkEnd w:id="2"/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2 DESENVOLVIMENTO</w:t>
      </w:r>
    </w:p>
    <w:p w:rsidR="00000000" w:rsidDel="00000000" w:rsidP="00000000" w:rsidRDefault="00000000" w:rsidRPr="00000000" w14:paraId="0000006A">
      <w:pPr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pStyle w:val="Heading2"/>
        <w:jc w:val="both"/>
        <w:rPr>
          <w:b w:val="1"/>
          <w:bCs w:val="1"/>
          <w:color w:val="000000"/>
          <w:sz w:val="24"/>
          <w:szCs w:val="24"/>
        </w:rPr>
      </w:pPr>
      <w:bookmarkStart w:colFirst="0" w:colLast="0" w:name="_9gwb9dcs2qfq" w:id="3"/>
      <w:bookmarkEnd w:id="3"/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2.1 Tipificação do Crime: Lei 12.737/2012 e Lei 14.155/2021</w:t>
      </w:r>
    </w:p>
    <w:p w:rsidR="00000000" w:rsidDel="00000000" w:rsidP="00000000" w:rsidRDefault="00000000" w:rsidRPr="00000000" w14:paraId="0000006C">
      <w:pPr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spacing w:after="240" w:before="240" w:lineRule="auto"/>
        <w:ind w:firstLine="720"/>
        <w:jc w:val="both"/>
        <w:rPr/>
      </w:pPr>
      <w:r w:rsidDel="00000000" w:rsidR="00000000" w:rsidRPr="00000000">
        <w:rPr>
          <w:rtl w:val="0"/>
        </w:rPr>
        <w:t xml:space="preserve">A resposta estatal à crescente onda de ilícitos virtuais materializou-se, inicialmente, pela Lei 12.737/2012, que inseriu o artigo 154-A no Código Penal Brasileiro. Este dispositivo tipificou criminalmente a conduta de invadir dispositivo informático alheio — independentemente de o equipamento ser um computador, smartphone ou servidor — mediante a violação de mecanismos de segurança. A lei criminaliza o acesso não autorizado que tenha por finalidade obter, adulterar ou destruir dados, bem como instalar vulnerabilidades para a obtenção de vantagens ilícitas. A sanção primordial estipulada consistia em detenção de três meses a um ano, acrescida de multa, com previsão de agravantes em caso de dano económico.</w:t>
      </w:r>
    </w:p>
    <w:p w:rsidR="00000000" w:rsidDel="00000000" w:rsidP="00000000" w:rsidRDefault="00000000" w:rsidRPr="00000000" w14:paraId="0000006E">
      <w:pPr>
        <w:spacing w:after="240" w:before="240" w:lineRule="auto"/>
        <w:ind w:firstLine="720"/>
        <w:jc w:val="both"/>
        <w:rPr/>
      </w:pPr>
      <w:r w:rsidDel="00000000" w:rsidR="00000000" w:rsidRPr="00000000">
        <w:rPr>
          <w:rtl w:val="0"/>
        </w:rPr>
        <w:t xml:space="preserve">Entretanto, a rápida sofisticação dos ataques, manifestada sobretudo na proliferação de fraudes bancárias, estelionatos digitais e sequestros de dados (ransomware), evidenciou que as sanções originais haviam se tornado insuficientes para promover a dissuasão necessária. Como resposta, o Poder Legislativo editou a Lei 14.155/2021, que promoveu um endurecimento substancial nas penas aplicáveis aos cibercrimes.</w:t>
      </w:r>
    </w:p>
    <w:p w:rsidR="00000000" w:rsidDel="00000000" w:rsidP="00000000" w:rsidRDefault="00000000" w:rsidRPr="00000000" w14:paraId="0000006F">
      <w:pPr>
        <w:spacing w:after="240" w:before="240" w:lineRule="auto"/>
        <w:ind w:firstLine="720"/>
        <w:jc w:val="both"/>
        <w:rPr/>
      </w:pPr>
      <w:r w:rsidDel="00000000" w:rsidR="00000000" w:rsidRPr="00000000">
        <w:rPr>
          <w:rtl w:val="0"/>
        </w:rPr>
        <w:t xml:space="preserve">Com as alterações, a pena base para a invasão de dispositivo informático foi elevada para o patamar de um a quatro anos de reclusão. Adicionalmente, estabeleceram-se qualificadoras severas: caso a invasão resulte na obtenção de comunicações eletrónicas privadas, segredos comerciais ou industriais, ou permita o controlo remoto do sistema invadido, a penalidade pode alcançar até cinco anos. Além de tutelar a privacidade, a nova legislação alterou dispositivos relacionados a crimes contra o património, tipificando o furto mediante fraude eletrónica e estipulando penas mínimas rigorosas para atos que geram vantagem financeira indevida. Essa evolução demonstra o amadurecimento do Direito Penal brasileiro na proteção à integridade dos sistemas informatizados.</w:t>
      </w:r>
    </w:p>
    <w:p w:rsidR="00000000" w:rsidDel="00000000" w:rsidP="00000000" w:rsidRDefault="00000000" w:rsidRPr="00000000" w14:paraId="00000070">
      <w:pPr>
        <w:spacing w:after="0" w:before="0" w:line="360" w:lineRule="auto"/>
        <w:ind w:firstLine="708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pStyle w:val="Heading2"/>
        <w:jc w:val="both"/>
        <w:rPr>
          <w:b w:val="1"/>
          <w:bCs w:val="1"/>
          <w:color w:val="000000"/>
          <w:sz w:val="24"/>
          <w:szCs w:val="24"/>
        </w:rPr>
      </w:pPr>
      <w:bookmarkStart w:colFirst="0" w:colLast="0" w:name="_42d9oybt4s0u" w:id="4"/>
      <w:bookmarkEnd w:id="4"/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2.2   Responsabilidade do Desenvolvedor e a Segurança da Informação</w:t>
      </w:r>
    </w:p>
    <w:p w:rsidR="00000000" w:rsidDel="00000000" w:rsidP="00000000" w:rsidRDefault="00000000" w:rsidRPr="00000000" w14:paraId="00000073">
      <w:pPr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spacing w:after="240" w:before="240" w:lineRule="auto"/>
        <w:ind w:firstLine="720"/>
        <w:jc w:val="both"/>
        <w:rPr/>
      </w:pPr>
      <w:r w:rsidDel="00000000" w:rsidR="00000000" w:rsidRPr="00000000">
        <w:rPr>
          <w:rtl w:val="0"/>
        </w:rPr>
        <w:t xml:space="preserve">No ecossistema da engenharia de software, o desenvolvedor exerce um papel fundamental na mitigação de riscos cibernéticos. Uma falha técnica decorrente de negligência na escrita do código pode rapidamente se converter no vetor de exploração para a consumação de um crime digital. Portanto, a diferenciação entre um simples erro de lógica e a facilitação de um ataque sistémico reside, muitas vezes, na adoção prévia de padrões de desenvolvimento seguro (</w:t>
      </w:r>
      <w:r w:rsidDel="00000000" w:rsidR="00000000" w:rsidRPr="00000000">
        <w:rPr>
          <w:i w:val="1"/>
          <w:iCs w:val="1"/>
          <w:rtl w:val="0"/>
        </w:rPr>
        <w:t xml:space="preserve">Security by Design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75">
      <w:pPr>
        <w:spacing w:after="240" w:before="240" w:lineRule="auto"/>
        <w:ind w:firstLine="720"/>
        <w:jc w:val="both"/>
        <w:rPr/>
      </w:pPr>
      <w:r w:rsidDel="00000000" w:rsidR="00000000" w:rsidRPr="00000000">
        <w:rPr>
          <w:rtl w:val="0"/>
        </w:rPr>
        <w:t xml:space="preserve">Conforme documentado por organizações de referência técnica, como a OWASP (</w:t>
      </w:r>
      <w:r w:rsidDel="00000000" w:rsidR="00000000" w:rsidRPr="00000000">
        <w:rPr>
          <w:i w:val="1"/>
          <w:iCs w:val="1"/>
          <w:rtl w:val="0"/>
        </w:rPr>
        <w:t xml:space="preserve">Open Worldwide Application Security Project</w:t>
      </w:r>
      <w:r w:rsidDel="00000000" w:rsidR="00000000" w:rsidRPr="00000000">
        <w:rPr>
          <w:rtl w:val="0"/>
        </w:rPr>
        <w:t xml:space="preserve">), a maioria das invasões explora vulnerabilidades amplamente conhecidas. Falhas como Injeção de SQL (</w:t>
      </w:r>
      <w:r w:rsidDel="00000000" w:rsidR="00000000" w:rsidRPr="00000000">
        <w:rPr>
          <w:i w:val="1"/>
          <w:iCs w:val="1"/>
          <w:rtl w:val="0"/>
        </w:rPr>
        <w:t xml:space="preserve">SQL Injection</w:t>
      </w:r>
      <w:r w:rsidDel="00000000" w:rsidR="00000000" w:rsidRPr="00000000">
        <w:rPr>
          <w:rtl w:val="0"/>
        </w:rPr>
        <w:t xml:space="preserve">) permitem a manipulação e extração indevida de bases de dados inteiras; o </w:t>
      </w:r>
      <w:r w:rsidDel="00000000" w:rsidR="00000000" w:rsidRPr="00000000">
        <w:rPr>
          <w:i w:val="1"/>
          <w:iCs w:val="1"/>
          <w:rtl w:val="0"/>
        </w:rPr>
        <w:t xml:space="preserve">Cross-Site Scripting</w:t>
      </w:r>
      <w:r w:rsidDel="00000000" w:rsidR="00000000" w:rsidRPr="00000000">
        <w:rPr>
          <w:rtl w:val="0"/>
        </w:rPr>
        <w:t xml:space="preserve"> (XSS) viabiliza a execução de scripts maliciosos nos navegadores dos utilizadores; e a ausência de controlos robustos de sessão e autenticação pode levar à apropriação de contas e dados sensíveis.</w:t>
      </w:r>
    </w:p>
    <w:p w:rsidR="00000000" w:rsidDel="00000000" w:rsidP="00000000" w:rsidRDefault="00000000" w:rsidRPr="00000000" w14:paraId="00000076">
      <w:pPr>
        <w:spacing w:after="240" w:before="240" w:lineRule="auto"/>
        <w:ind w:firstLine="720"/>
        <w:jc w:val="both"/>
        <w:rPr/>
      </w:pPr>
      <w:r w:rsidDel="00000000" w:rsidR="00000000" w:rsidRPr="00000000">
        <w:rPr>
          <w:rtl w:val="0"/>
        </w:rPr>
        <w:t xml:space="preserve">Para mitigar tais vetores, exige-se a implementação rigorosa de boas práticas desde o início do ciclo de vida do desenvolvimento. Entre as medidas essenciais, destacam-se a validação e higienização de todas as entradas de dados do utilizador, a utilização de consultas parametrizadas (</w:t>
      </w:r>
      <w:r w:rsidDel="00000000" w:rsidR="00000000" w:rsidRPr="00000000">
        <w:rPr>
          <w:i w:val="1"/>
          <w:iCs w:val="1"/>
          <w:rtl w:val="0"/>
        </w:rPr>
        <w:t xml:space="preserve">prepared statements</w:t>
      </w:r>
      <w:r w:rsidDel="00000000" w:rsidR="00000000" w:rsidRPr="00000000">
        <w:rPr>
          <w:rtl w:val="0"/>
        </w:rPr>
        <w:t xml:space="preserve">), a aplicação de criptografia forte para dados em repouso e em trânsito, e o uso de algoritmos de </w:t>
      </w:r>
      <w:r w:rsidDel="00000000" w:rsidR="00000000" w:rsidRPr="00000000">
        <w:rPr>
          <w:i w:val="1"/>
          <w:iCs w:val="1"/>
          <w:rtl w:val="0"/>
        </w:rPr>
        <w:t xml:space="preserve">hash</w:t>
      </w:r>
      <w:r w:rsidDel="00000000" w:rsidR="00000000" w:rsidRPr="00000000">
        <w:rPr>
          <w:rtl w:val="0"/>
        </w:rPr>
        <w:t xml:space="preserve"> seguros para o armazenamento de passwords. Além disso, a arquitetura deve seguir o princípio do privilégio mínimo, assegurando que utilizadores e serviços possuam apenas as permissões estritamente necessárias para a execução de suas funções.</w:t>
      </w:r>
    </w:p>
    <w:p w:rsidR="00000000" w:rsidDel="00000000" w:rsidP="00000000" w:rsidRDefault="00000000" w:rsidRPr="00000000" w14:paraId="00000077">
      <w:pPr>
        <w:spacing w:after="240" w:before="240" w:lineRule="auto"/>
        <w:ind w:firstLine="72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spacing w:after="240" w:before="240" w:lineRule="auto"/>
        <w:ind w:firstLine="72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spacing w:after="240" w:before="240" w:lineRule="auto"/>
        <w:ind w:firstLine="72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spacing w:after="0" w:before="0" w:line="360" w:lineRule="auto"/>
        <w:ind w:firstLine="708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pStyle w:val="Heading2"/>
        <w:jc w:val="both"/>
        <w:rPr>
          <w:b w:val="1"/>
          <w:bCs w:val="1"/>
          <w:color w:val="000000"/>
          <w:sz w:val="24"/>
          <w:szCs w:val="24"/>
        </w:rPr>
      </w:pPr>
      <w:bookmarkStart w:colFirst="0" w:colLast="0" w:name="_69a2af8w7es1" w:id="5"/>
      <w:bookmarkEnd w:id="5"/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2.3 A Lei Geral de Proteção de Dados (LGPD) e o Tratamento de Informações</w:t>
      </w:r>
    </w:p>
    <w:p w:rsidR="00000000" w:rsidDel="00000000" w:rsidP="00000000" w:rsidRDefault="00000000" w:rsidRPr="00000000" w14:paraId="0000007D">
      <w:pPr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Inspirada em diretrizes internacionais rigorosas, a Lei 13.709/2018 (LGPD) transformou profundamente a governação de dados no Brasil. A legislação incide sobre qualquer operação de tratamento de dados pessoais — seja recolha, armazenamento, modificação ou eliminação — realizada em território nacional ou que vise a oferta de bens e serviços a indivíduos localizados no país.</w:t>
      </w:r>
    </w:p>
    <w:p w:rsidR="00000000" w:rsidDel="00000000" w:rsidP="00000000" w:rsidRDefault="00000000" w:rsidRPr="00000000" w14:paraId="0000007F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A LGPD estabelece uma delimitação clara de responsabilidades entre os agentes de tratamento. O "controlador" é a entidade que detém o poder de decisão sobre a finalidade e a forma do tratamento dos dados, enquanto o "operador" executa esse processamento em nome do controlador. Ambos possuem responsabilidade solidária em eventuais incidentes de segurança, obrigando toda a cadeia de fornecedores de software a manter padrões elevados de conformidade. Para que qualquer dado seja tratado licitamente, é imperativa a adequação a uma das bases legais previstas, tais como o consentimento expresso e inequívoco do titular ou o legítimo interesse da organização.</w:t>
      </w:r>
    </w:p>
    <w:p w:rsidR="00000000" w:rsidDel="00000000" w:rsidP="00000000" w:rsidRDefault="00000000" w:rsidRPr="00000000" w14:paraId="00000080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O descumprimento das normativas atrai sanções administrativas aplicadas pela Autoridade Nacional de Proteção de Dados (ANPD). As penalidades estendem-se desde advertências formais até multas severas, que podem atingir 2% do faturação da empresa, limitadas a R$ 50 milhões por infração. Além do passivo financeiro, incidentes de vazamento geram impactos reputacionais irreparáveis para as organizações envolvidas.</w:t>
      </w:r>
    </w:p>
    <w:p w:rsidR="00000000" w:rsidDel="00000000" w:rsidP="00000000" w:rsidRDefault="00000000" w:rsidRPr="00000000" w14:paraId="00000081">
      <w:pPr>
        <w:spacing w:after="0" w:before="0" w:line="360" w:lineRule="auto"/>
        <w:ind w:firstLine="708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pStyle w:val="Heading2"/>
        <w:jc w:val="both"/>
        <w:rPr>
          <w:b w:val="1"/>
          <w:bCs w:val="1"/>
          <w:color w:val="000000"/>
          <w:sz w:val="24"/>
          <w:szCs w:val="24"/>
        </w:rPr>
      </w:pPr>
      <w:bookmarkStart w:colFirst="0" w:colLast="0" w:name="_imiewhwy220a" w:id="6"/>
      <w:bookmarkEnd w:id="6"/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2.4 Análise Crítica: Desafios na Formação e Cultura de Segurança Digital</w:t>
      </w:r>
    </w:p>
    <w:p w:rsidR="00000000" w:rsidDel="00000000" w:rsidP="00000000" w:rsidRDefault="00000000" w:rsidRPr="00000000" w14:paraId="0000008B">
      <w:pPr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A existência de um aparato legislativo moderno e robusto é um avanço inegável para a segurança cibernética brasileira. Contudo, a análise sistémica do mercado de tecnologia revela que a conformidade legal esbarra frequentemente em entraves práticos e culturais. A eficácia das leis de proteção depende de uma mudança de paradigma que integre a segurança da informação à base da formação técnica e da gestão corporativa.</w:t>
      </w:r>
    </w:p>
    <w:p w:rsidR="00000000" w:rsidDel="00000000" w:rsidP="00000000" w:rsidRDefault="00000000" w:rsidRPr="00000000" w14:paraId="0000008D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No ambiente educacional, observa-se que os currículos de muitos cursos técnicos ainda priorizam a agilidade na entrega de funcionalidades em detrimento do ensino de codificação segura. A inclusão obrigatória de disciplinas aprofundadas sobre ética digital e análise de vulnerabilidades no ciclo académico é uma medida premente para garantir a maturidade profissional dos futuros desenvolvedores.</w:t>
      </w:r>
    </w:p>
    <w:p w:rsidR="00000000" w:rsidDel="00000000" w:rsidP="00000000" w:rsidRDefault="00000000" w:rsidRPr="00000000" w14:paraId="0000008E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Finalmente, o êxito das políticas de proteção de dados está atrelado à atuação firme da ANPD e à educação digital da sociedade. A consciencialização contínua do utilizador final a respeito de práticas seguras de autenticação e identificação de engenharia social (</w:t>
      </w:r>
      <w:r w:rsidDel="00000000" w:rsidR="00000000" w:rsidRPr="00000000">
        <w:rPr>
          <w:i w:val="1"/>
          <w:iCs w:val="1"/>
          <w:rtl w:val="0"/>
        </w:rPr>
        <w:t xml:space="preserve">phishing</w:t>
      </w:r>
      <w:r w:rsidDel="00000000" w:rsidR="00000000" w:rsidRPr="00000000">
        <w:rPr>
          <w:rtl w:val="0"/>
        </w:rPr>
        <w:t xml:space="preserve">) forma a camada final de defesa no ecossistema tecnológico.</w:t>
      </w:r>
    </w:p>
    <w:p w:rsidR="00000000" w:rsidDel="00000000" w:rsidP="00000000" w:rsidRDefault="00000000" w:rsidRPr="00000000" w14:paraId="0000008F">
      <w:pPr>
        <w:spacing w:after="0" w:before="0" w:line="360" w:lineRule="auto"/>
        <w:ind w:firstLine="708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spacing w:after="0" w:before="0" w:line="360" w:lineRule="auto"/>
        <w:ind w:firstLine="708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spacing w:after="0" w:before="0" w:line="360" w:lineRule="auto"/>
        <w:ind w:firstLine="708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spacing w:after="0" w:before="0" w:line="360" w:lineRule="auto"/>
        <w:ind w:firstLine="708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spacing w:after="0" w:before="0" w:line="360" w:lineRule="auto"/>
        <w:ind w:firstLine="708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spacing w:after="0" w:before="0" w:line="360" w:lineRule="auto"/>
        <w:ind w:firstLine="708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spacing w:after="0" w:before="0" w:line="360" w:lineRule="auto"/>
        <w:ind w:firstLine="708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spacing w:after="0" w:before="0" w:line="360" w:lineRule="auto"/>
        <w:ind w:firstLine="708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spacing w:after="0" w:before="0" w:line="360" w:lineRule="auto"/>
        <w:ind w:lef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spacing w:after="0" w:before="0" w:line="360" w:lineRule="auto"/>
        <w:ind w:lef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spacing w:after="0" w:before="0" w:line="360" w:lineRule="auto"/>
        <w:ind w:firstLine="708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spacing w:after="0" w:before="0" w:line="360" w:lineRule="auto"/>
        <w:ind w:firstLine="708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pStyle w:val="Heading1"/>
        <w:jc w:val="both"/>
        <w:rPr>
          <w:color w:val="000000"/>
          <w:sz w:val="24"/>
          <w:szCs w:val="24"/>
        </w:rPr>
      </w:pPr>
      <w:bookmarkStart w:colFirst="0" w:colLast="0" w:name="_28r989jgx5wl" w:id="7"/>
      <w:bookmarkEnd w:id="7"/>
      <w:r w:rsidDel="00000000" w:rsidR="00000000" w:rsidRPr="00000000">
        <w:rPr>
          <w:color w:val="000000"/>
          <w:sz w:val="24"/>
          <w:szCs w:val="24"/>
          <w:rtl w:val="0"/>
        </w:rPr>
        <w:t xml:space="preserve">3 CONCLUSÃO</w:t>
      </w:r>
    </w:p>
    <w:p w:rsidR="00000000" w:rsidDel="00000000" w:rsidP="00000000" w:rsidRDefault="00000000" w:rsidRPr="00000000" w14:paraId="0000009D">
      <w:pPr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A transição de uma sociedade analógica para uma realidade hiperconectada demandou do Estado a formulação de regulamentações complexas, das quais a Lei 12.737/2012, a Lei 14.155/2021 e a LGPD figuram como marcos fundamentais. O recrudescimento das penas para invasões a dispositivos e fraudes eletrónicas, aliado à exigência de padrões elevados no tratamento de informações pessoais, estabelece um ambiente jurídico de menor tolerância à negligência digital.</w:t>
      </w:r>
    </w:p>
    <w:p w:rsidR="00000000" w:rsidDel="00000000" w:rsidP="00000000" w:rsidRDefault="00000000" w:rsidRPr="00000000" w14:paraId="0000009F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Conclui-se, destarte, que a proteção dos dados e a segurança cibernética compõem uma responsabilidade compartilhada. Ela envolve o aprimoramento constante da formação técnica, a implementação de políticas internas rigorosas pelas organizações e o fortalecimento dos órgãos fiscalizadores. Somente por meio do uso responsável, ético e legalmente adequado da tecnologia será possível sustentar a confiança necessária para o contínuo progresso digital.</w:t>
      </w:r>
    </w:p>
    <w:p w:rsidR="00000000" w:rsidDel="00000000" w:rsidP="00000000" w:rsidRDefault="00000000" w:rsidRPr="00000000" w14:paraId="000000A0">
      <w:pPr>
        <w:spacing w:after="0" w:before="0" w:line="360" w:lineRule="auto"/>
        <w:ind w:firstLine="708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spacing w:after="0" w:before="0" w:line="360" w:lineRule="auto"/>
        <w:ind w:firstLine="708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spacing w:after="0" w:before="0" w:line="360" w:lineRule="auto"/>
        <w:ind w:firstLine="708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spacing w:after="0" w:before="0" w:line="360" w:lineRule="auto"/>
        <w:ind w:firstLine="708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spacing w:after="0" w:before="0" w:line="360" w:lineRule="auto"/>
        <w:ind w:firstLine="708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spacing w:after="0" w:before="0" w:line="360" w:lineRule="auto"/>
        <w:ind w:firstLine="708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spacing w:after="0" w:before="0" w:line="360" w:lineRule="auto"/>
        <w:ind w:firstLine="708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spacing w:after="0" w:before="0" w:line="360" w:lineRule="auto"/>
        <w:ind w:firstLine="708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spacing w:after="0" w:before="0" w:line="360" w:lineRule="auto"/>
        <w:ind w:firstLine="708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spacing w:after="0" w:before="0" w:line="360" w:lineRule="auto"/>
        <w:ind w:firstLine="708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spacing w:after="0" w:before="0" w:line="360" w:lineRule="auto"/>
        <w:ind w:firstLine="708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spacing w:after="0" w:before="0" w:line="360" w:lineRule="auto"/>
        <w:ind w:firstLine="708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spacing w:after="0" w:before="0" w:line="360" w:lineRule="auto"/>
        <w:ind w:firstLine="708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spacing w:after="0" w:before="0" w:line="360" w:lineRule="auto"/>
        <w:ind w:firstLine="708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spacing w:after="0" w:before="0" w:line="360" w:lineRule="auto"/>
        <w:ind w:firstLine="708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spacing w:after="0" w:before="0" w:line="360" w:lineRule="auto"/>
        <w:ind w:firstLine="708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spacing w:after="0" w:before="0" w:line="360" w:lineRule="auto"/>
        <w:ind w:firstLine="708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pStyle w:val="Heading1"/>
        <w:rPr>
          <w:b w:val="1"/>
          <w:bCs w:val="1"/>
          <w:color w:val="000000"/>
          <w:sz w:val="24"/>
          <w:szCs w:val="24"/>
        </w:rPr>
      </w:pPr>
      <w:bookmarkStart w:colFirst="0" w:colLast="0" w:name="_hsq1dbj08lgg" w:id="8"/>
      <w:bookmarkEnd w:id="8"/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4 REFERÊNCIAS</w:t>
      </w:r>
    </w:p>
    <w:p w:rsidR="00000000" w:rsidDel="00000000" w:rsidP="00000000" w:rsidRDefault="00000000" w:rsidRPr="00000000" w14:paraId="000000B3">
      <w:pPr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spacing w:after="240" w:before="240" w:line="240" w:lineRule="auto"/>
        <w:jc w:val="both"/>
        <w:rPr/>
      </w:pPr>
      <w:r w:rsidDel="00000000" w:rsidR="00000000" w:rsidRPr="00000000">
        <w:rPr>
          <w:rtl w:val="0"/>
        </w:rPr>
        <w:t xml:space="preserve">AUTORIDADE NACIONAL DE PROTEÇÃO DE DADOS (ANPD). </w:t>
      </w:r>
      <w:r w:rsidDel="00000000" w:rsidR="00000000" w:rsidRPr="00000000">
        <w:rPr>
          <w:b w:val="1"/>
          <w:bCs w:val="1"/>
          <w:rtl w:val="0"/>
        </w:rPr>
        <w:t xml:space="preserve">Guia orientativo para definições dos agentes de tratamento de dados pessoais e do encarregado.</w:t>
      </w:r>
      <w:r w:rsidDel="00000000" w:rsidR="00000000" w:rsidRPr="00000000">
        <w:rPr>
          <w:rtl w:val="0"/>
        </w:rPr>
        <w:t xml:space="preserve"> Brasília: ANPD, 2021.</w:t>
      </w:r>
    </w:p>
    <w:p w:rsidR="00000000" w:rsidDel="00000000" w:rsidP="00000000" w:rsidRDefault="00000000" w:rsidRPr="00000000" w14:paraId="000000B5">
      <w:pPr>
        <w:spacing w:after="240" w:before="240" w:line="240" w:lineRule="auto"/>
        <w:jc w:val="both"/>
        <w:rPr/>
      </w:pPr>
      <w:r w:rsidDel="00000000" w:rsidR="00000000" w:rsidRPr="00000000">
        <w:rPr>
          <w:rtl w:val="0"/>
        </w:rPr>
        <w:t xml:space="preserve">BRASIL. </w:t>
      </w:r>
      <w:r w:rsidDel="00000000" w:rsidR="00000000" w:rsidRPr="00000000">
        <w:rPr>
          <w:b w:val="1"/>
          <w:bCs w:val="1"/>
          <w:rtl w:val="0"/>
        </w:rPr>
        <w:t xml:space="preserve">Lei n. 12.737, de 30 de novembro de 2012.</w:t>
      </w:r>
      <w:r w:rsidDel="00000000" w:rsidR="00000000" w:rsidRPr="00000000">
        <w:rPr>
          <w:rtl w:val="0"/>
        </w:rPr>
        <w:t xml:space="preserve"> Dispõe sobre a tipificação criminal de delitos informáticos. Diário Oficial da União, Brasília, DF, 3 dez. 2012.</w:t>
      </w:r>
    </w:p>
    <w:p w:rsidR="00000000" w:rsidDel="00000000" w:rsidP="00000000" w:rsidRDefault="00000000" w:rsidRPr="00000000" w14:paraId="000000B6">
      <w:pPr>
        <w:spacing w:after="240" w:before="240" w:line="240" w:lineRule="auto"/>
        <w:jc w:val="both"/>
        <w:rPr/>
      </w:pPr>
      <w:r w:rsidDel="00000000" w:rsidR="00000000" w:rsidRPr="00000000">
        <w:rPr>
          <w:rtl w:val="0"/>
        </w:rPr>
        <w:t xml:space="preserve">BRASIL. </w:t>
      </w:r>
      <w:r w:rsidDel="00000000" w:rsidR="00000000" w:rsidRPr="00000000">
        <w:rPr>
          <w:b w:val="1"/>
          <w:bCs w:val="1"/>
          <w:rtl w:val="0"/>
        </w:rPr>
        <w:t xml:space="preserve">Lei n. 13.709, de 14 de agosto de 2018.</w:t>
      </w:r>
      <w:r w:rsidDel="00000000" w:rsidR="00000000" w:rsidRPr="00000000">
        <w:rPr>
          <w:rtl w:val="0"/>
        </w:rPr>
        <w:t xml:space="preserve"> Lei Geral de Proteção de Dados Pessoais (LGPD). Diário Oficial da União, Brasília, DF, 15 ago. 2018.</w:t>
      </w:r>
    </w:p>
    <w:p w:rsidR="00000000" w:rsidDel="00000000" w:rsidP="00000000" w:rsidRDefault="00000000" w:rsidRPr="00000000" w14:paraId="000000B7">
      <w:pPr>
        <w:spacing w:after="240" w:before="240" w:line="240" w:lineRule="auto"/>
        <w:jc w:val="both"/>
        <w:rPr/>
      </w:pPr>
      <w:r w:rsidDel="00000000" w:rsidR="00000000" w:rsidRPr="00000000">
        <w:rPr>
          <w:rtl w:val="0"/>
        </w:rPr>
        <w:t xml:space="preserve">BRASIL. </w:t>
      </w:r>
      <w:r w:rsidDel="00000000" w:rsidR="00000000" w:rsidRPr="00000000">
        <w:rPr>
          <w:b w:val="1"/>
          <w:bCs w:val="1"/>
          <w:rtl w:val="0"/>
        </w:rPr>
        <w:t xml:space="preserve">Lei n. 14.155, de 27 de maio de 2021.</w:t>
      </w:r>
      <w:r w:rsidDel="00000000" w:rsidR="00000000" w:rsidRPr="00000000">
        <w:rPr>
          <w:rtl w:val="0"/>
        </w:rPr>
        <w:t xml:space="preserve"> Altera o Decreto-Lei nº 2.848, de 7 de dezembro de 1940 (Código Penal). Diário Oficial da União, Brasília, DF, 28 maio 2021.</w:t>
      </w:r>
    </w:p>
    <w:p w:rsidR="00000000" w:rsidDel="00000000" w:rsidP="00000000" w:rsidRDefault="00000000" w:rsidRPr="00000000" w14:paraId="000000B8">
      <w:pPr>
        <w:spacing w:after="240" w:before="240" w:line="240" w:lineRule="auto"/>
        <w:jc w:val="both"/>
        <w:rPr/>
      </w:pPr>
      <w:r w:rsidDel="00000000" w:rsidR="00000000" w:rsidRPr="00000000">
        <w:rPr>
          <w:rtl w:val="0"/>
        </w:rPr>
        <w:t xml:space="preserve">OWASP FOUNDATION. </w:t>
      </w:r>
      <w:r w:rsidDel="00000000" w:rsidR="00000000" w:rsidRPr="00000000">
        <w:rPr>
          <w:b w:val="1"/>
          <w:bCs w:val="1"/>
          <w:rtl w:val="0"/>
        </w:rPr>
        <w:t xml:space="preserve">OWASP Top Ten.</w:t>
      </w:r>
      <w:r w:rsidDel="00000000" w:rsidR="00000000" w:rsidRPr="00000000">
        <w:rPr>
          <w:rtl w:val="0"/>
        </w:rPr>
        <w:t xml:space="preserve"> [S. l.]: OWASP, 2021.</w:t>
      </w:r>
    </w:p>
    <w:p w:rsidR="00000000" w:rsidDel="00000000" w:rsidP="00000000" w:rsidRDefault="00000000" w:rsidRPr="00000000" w14:paraId="000000B9">
      <w:pPr>
        <w:spacing w:after="240" w:before="240" w:line="240" w:lineRule="auto"/>
        <w:jc w:val="both"/>
        <w:rPr/>
      </w:pPr>
      <w:r w:rsidDel="00000000" w:rsidR="00000000" w:rsidRPr="00000000">
        <w:rPr>
          <w:rtl w:val="0"/>
        </w:rPr>
        <w:t xml:space="preserve">STALLINGS, William; BROWN, Lawrie. </w:t>
      </w:r>
      <w:r w:rsidDel="00000000" w:rsidR="00000000" w:rsidRPr="00000000">
        <w:rPr>
          <w:b w:val="1"/>
          <w:bCs w:val="1"/>
          <w:rtl w:val="0"/>
        </w:rPr>
        <w:t xml:space="preserve">Segurança de Computadores: Princípios e Práticas.</w:t>
      </w:r>
      <w:r w:rsidDel="00000000" w:rsidR="00000000" w:rsidRPr="00000000">
        <w:rPr>
          <w:rtl w:val="0"/>
        </w:rPr>
        <w:t xml:space="preserve"> 2. ed. São Paulo: Pearson Education do Brasil, 2014.</w:t>
      </w:r>
    </w:p>
    <w:p w:rsidR="00000000" w:rsidDel="00000000" w:rsidP="00000000" w:rsidRDefault="00000000" w:rsidRPr="00000000" w14:paraId="000000BA">
      <w:pPr>
        <w:spacing w:after="0" w:before="0" w:line="240" w:lineRule="auto"/>
        <w:ind w:hanging="708"/>
        <w:jc w:val="both"/>
        <w:rPr/>
      </w:pPr>
      <w:r w:rsidDel="00000000" w:rsidR="00000000" w:rsidRPr="00000000">
        <w:rPr>
          <w:rtl w:val="0"/>
        </w:rPr>
      </w:r>
    </w:p>
    <w:sectPr>
      <w:headerReference r:id="rId7" w:type="default"/>
      <w:headerReference r:id="rId8" w:type="first"/>
      <w:footerReference r:id="rId9" w:type="default"/>
      <w:footerReference r:id="rId10" w:type="first"/>
      <w:pgSz w:h="16838" w:w="11906" w:orient="portrait"/>
      <w:pgMar w:bottom="1133.8582677165355" w:top="1700.7874015748032" w:left="1700.7874015748032" w:right="1133.8582677165355" w:header="708" w:footer="708"/>
      <w:pgNumType w:start="1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BB">
    <w:pPr>
      <w:rPr/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BD">
    <w:pPr>
      <w:jc w:val="right"/>
      <w:rPr/>
    </w:pPr>
    <w:r w:rsidDel="00000000" w:rsidR="00000000" w:rsidRPr="00000000">
      <w:rPr/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BC">
    <w:pPr>
      <w:rPr/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BE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4"/>
        <w:szCs w:val="24"/>
      </w:rPr>
    </w:rPrDefault>
    <w:pPrDefault>
      <w:pPr>
        <w:spacing w:line="360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36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2e74b5"/>
      <w:sz w:val="32"/>
      <w:szCs w:val="32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36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2e74b5"/>
      <w:sz w:val="26"/>
      <w:szCs w:val="26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36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1f4d78"/>
      <w:sz w:val="24"/>
      <w:szCs w:val="24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360" w:lineRule="auto"/>
      <w:ind w:left="0" w:right="0" w:firstLine="0"/>
      <w:jc w:val="left"/>
    </w:pPr>
    <w:rPr>
      <w:rFonts w:ascii="Arial" w:cs="Arial" w:eastAsia="Arial" w:hAnsi="Arial"/>
      <w:b w:val="0"/>
      <w:bCs w:val="0"/>
      <w:i w:val="1"/>
      <w:iCs w:val="1"/>
      <w:smallCaps w:val="0"/>
      <w:strike w:val="0"/>
      <w:color w:val="2e74b5"/>
      <w:sz w:val="24"/>
      <w:szCs w:val="24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36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2e74b5"/>
      <w:sz w:val="24"/>
      <w:szCs w:val="24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36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1f4d78"/>
      <w:sz w:val="24"/>
      <w:szCs w:val="24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36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000000"/>
      <w:sz w:val="56"/>
      <w:szCs w:val="56"/>
      <w:u w:val="none"/>
      <w:shd w:fill="auto" w:val="clear"/>
      <w:vertAlign w:val="baselin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footer" Target="footer1.xml"/><Relationship Id="rId9" Type="http://schemas.openxmlformats.org/officeDocument/2006/relationships/footer" Target="footer2.xml"/><Relationship Id="rId5" Type="http://schemas.openxmlformats.org/officeDocument/2006/relationships/styles" Target="styles.xml"/><Relationship Id="rId6" Type="http://schemas.openxmlformats.org/officeDocument/2006/relationships/image" Target="media/image1.jpg"/><Relationship Id="rId7" Type="http://schemas.openxmlformats.org/officeDocument/2006/relationships/header" Target="header2.xml"/><Relationship Id="rId8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