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O modelo LightGBM, treinado com 54 features derivadas de telemetria — incluindo frequências de alarmes em janelas rolantes de 15 a 240 minutos, fingerprint dos top-30 alarmes e contexto operacional de turno e frota — alcançou ROC-AUC de 0,99 e F1-Score de 0,68 na predição de eventos Don't Go com 60 minutos de antecedência (validação temporal: treino Jan–Mai, teste Jun). O equipamento CA65926 (793-D 4S) foi identificado como outlier crítico, com taxa de Don't Go 98× superior à média da frota (5,3% vs 0,054%). A análise SHAP revelou que as features mais determinantes são a recência do último evento Don't Go, a aceleração de alarmes críticos na janela de 60 minutos e a presença de alarmes específicos no fingerprint. Um dashboard interativo (Streamlit) e seis visualizações HTML standalone foram desenvolvidos para comunicar os resultados de forma executiva.</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Descobertas Exploratórias (EDA)</w:t>
      </w:r>
    </w:p>
    <w:p>
      <w:r>
        <w:rPr>
          <w:sz w:val="22"/>
        </w:rPr>
        <w:t>A análise exploratória validou e refutou as hipóteses de negócio levantadas:</w:t>
      </w:r>
    </w:p>
    <w:p>
      <w:pPr>
        <w:pStyle w:val="Commarcadores"/>
      </w:pPr>
      <w:r>
        <w:rPr>
          <w:sz w:val="22"/>
        </w:rPr>
        <w:t>H1 ✅ CONFIRMADA: existe uma sequência característica de alarmes críticos que precede o Don't Go nas 4 horas anteriores — o 'alarm fingerprint'.</w:t>
      </w:r>
    </w:p>
    <w:p>
      <w:pPr>
        <w:pStyle w:val="Commarcadores"/>
      </w:pPr>
      <w:r>
        <w:rPr>
          <w:sz w:val="22"/>
        </w:rPr>
        <w:t>H2 ✅ CONFIRMADA: a frequência de alarmes críticos aumenta progressivamente (aceleração) nas horas que antecedem um Don't Go.</w:t>
      </w:r>
    </w:p>
    <w:p>
      <w:pPr>
        <w:pStyle w:val="Commarcadores"/>
      </w:pPr>
      <w:r>
        <w:rPr>
          <w:sz w:val="22"/>
        </w:rPr>
        <w:t>H3 ✅ CONFIRMADA: o modelo 793-D 4S apresenta perfil de falha distinto — taxa DG 3× superior à média dos demais caminhões.</w:t>
      </w:r>
    </w:p>
    <w:p>
      <w:pPr>
        <w:pStyle w:val="Commarcadores"/>
      </w:pPr>
      <w:r>
        <w:rPr>
          <w:sz w:val="22"/>
        </w:rPr>
        <w:t>H4 ❌ REFUTADA: Don't Go distribui-se uniformemente nas 24 horas do dia, sem concentração em turno específico.</w:t>
      </w:r>
    </w:p>
    <w:p>
      <w:pPr>
        <w:pStyle w:val="Commarcadores"/>
      </w:pPr>
      <w:r>
        <w:rPr>
          <w:sz w:val="22"/>
        </w:rPr>
        <w:t>H5 ✅ CONFIRMADA: equipamentos em manutenção recente têm menor taxa de Don't Go nas 24h seguintes.</w:t>
      </w:r>
    </w:p>
    <w:p>
      <w:pPr>
        <w:pStyle w:val="Commarcadores"/>
      </w:pPr>
      <w:r>
        <w:rPr>
          <w:sz w:val="22"/>
        </w:rPr>
        <w:t>H6 N/A: todos os dados são de Itabira — variável de localidade sem discriminação.</w:t>
      </w:r>
    </w:p>
    <w:p>
      <w:pPr>
        <w:pStyle w:val="Commarcadores"/>
      </w:pPr>
      <w:r>
        <w:rPr>
          <w:sz w:val="22"/>
        </w:rPr>
        <w:t>H7 N/A: colunas de operador ausentes no dataset de parquet — não validável.</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12" name="Picture 12"/>
            <wp:cNvGraphicFramePr>
              <a:graphicFrameLocks noChangeAspect="1"/>
            </wp:cNvGraphicFramePr>
            <a:graphic>
              <a:graphicData uri="http://schemas.openxmlformats.org/drawingml/2006/picture">
                <pic:pic>
                  <pic:nvPicPr>
                    <pic:cNvPr id="0" name="roc_curve.png"/>
                    <pic:cNvPicPr/>
                  </pic:nvPicPr>
                  <pic:blipFill>
                    <a:blip r:embed="rId29"/>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28"/>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comparison_f1_bar.png"/>
                    <pic:cNvPicPr/>
                  </pic:nvPicPr>
                  <pic:blipFill>
                    <a:blip r:embed="rId27"/>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mparison_pr_curves.png"/>
                    <pic:cNvPicPr/>
                  </pic:nvPicPr>
                  <pic:blipFill>
                    <a:blip r:embed="rId26"/>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cost_vs_threshold.png"/>
                    <pic:cNvPicPr/>
                  </pic:nvPicPr>
                  <pic:blipFill>
                    <a:blip r:embed="rId25"/>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7" name="Picture 7"/>
            <wp:cNvGraphicFramePr>
              <a:graphicFrameLocks noChangeAspect="1"/>
            </wp:cNvGraphicFramePr>
            <a:graphic>
              <a:graphicData uri="http://schemas.openxmlformats.org/drawingml/2006/picture">
                <pic:pic>
                  <pic:nvPicPr>
                    <pic:cNvPr id="0" name="f1_by_fleet.png"/>
                    <pic:cNvPicPr/>
                  </pic:nvPicPr>
                  <pic:blipFill>
                    <a:blip r:embed="rId24"/>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6" name="Picture 6"/>
            <wp:cNvGraphicFramePr>
              <a:graphicFrameLocks noChangeAspect="1"/>
            </wp:cNvGraphicFramePr>
            <a:graphic>
              <a:graphicData uri="http://schemas.openxmlformats.org/drawingml/2006/picture">
                <pic:pic>
                  <pic:nvPicPr>
                    <pic:cNvPr id="0" name="f1_by_equipment_scatter.png"/>
                    <pic:cNvPicPr/>
                  </pic:nvPicPr>
                  <pic:blipFill>
                    <a:blip r:embed="rId23"/>
                    <a:stretch>
                      <a:fillRect/>
                    </a:stretch>
                  </pic:blipFill>
                  <pic:spPr>
                    <a:xfrm>
                      <a:off x="0" y="0"/>
                      <a:ext cx="5029200" cy="2743200"/>
                    </a:xfrm>
                    <a:prstGeom prst="rect"/>
                  </pic:spPr>
                </pic:pic>
              </a:graphicData>
            </a:graphic>
          </wp:inline>
        </w:drawing>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horizon_degradation.png"/>
                    <pic:cNvPicPr/>
                  </pic:nvPicPr>
                  <pic:blipFill>
                    <a:blip r:embed="rId22"/>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4" name="Picture 4"/>
            <wp:cNvGraphicFramePr>
              <a:graphicFrameLocks noChangeAspect="1"/>
            </wp:cNvGraphicFramePr>
            <a:graphic>
              <a:graphicData uri="http://schemas.openxmlformats.org/drawingml/2006/picture">
                <pic:pic>
                  <pic:nvPicPr>
                    <pic:cNvPr id="0" name="calibration_plot.png"/>
                    <pic:cNvPicPr/>
                  </pic:nvPicPr>
                  <pic:blipFill>
                    <a:blip r:embed="rId21"/>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threshold_curves.png"/>
                    <pic:cNvPicPr/>
                  </pic:nvPicPr>
                  <pic:blipFill>
                    <a:blip r:embed="rId20"/>
                    <a:stretch>
                      <a:fillRect/>
                    </a:stretch>
                  </pic:blipFill>
                  <pic:spPr>
                    <a:xfrm>
                      <a:off x="0" y="0"/>
                      <a:ext cx="5029200" cy="3017520"/>
                    </a:xfrm>
                    <a:prstGeom prst="rect"/>
                  </pic:spPr>
                </pic:pic>
              </a:graphicData>
            </a:graphic>
          </wp:inline>
        </w:drawing>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60 minutos de antecedência, utilizando exclusivamente os dados de telemetria disponíveis. O pipeline completo (Bronze → Silver → Gold → Modelo) processa 37,2 milhões de eventos de forma eficiente e reproduzível, e o modelo LightGBM com alarm fingerprint alcança ROC-AUC de 0,99, transformando dados brutos de sensores em um score de risco interpretável e acionável.</w:t>
      </w:r>
    </w:p>
    <w:p>
      <w:r>
        <w:rPr>
          <w:sz w:val="22"/>
        </w:rPr>
        <w:t>A identificação do CA65926 como outlier extremo (taxa DG 98× superior à média) é por si só um achado de alto valor operacional, direcionando recursos de manutenção para o equipamento que mais necessita de intervenção estrutural.</w:t>
      </w:r>
    </w:p>
    <w:p>
      <w:pPr>
        <w:pStyle w:val="Ttulo2"/>
      </w:pPr>
      <w:r>
        <w:rPr>
          <w:color w:val="00A650"/>
        </w:rPr>
        <w:t>Trabalhos Futuros</w:t>
      </w:r>
    </w:p>
    <w:p>
      <w:pPr>
        <w:pStyle w:val="Commarcadores"/>
      </w:pPr>
      <w:r>
        <w:rPr>
          <w:sz w:val="22"/>
        </w:rPr>
        <w:t>Otimização contínua do F1-Score: experimentos com SMOTE, ajuste fino de hiperparâmetros e threshold dinâmico por equipamento para superar a meta de F1 ≥ 0,75.</w:t>
      </w:r>
    </w:p>
    <w:p>
      <w:pPr>
        <w:pStyle w:val="Commarcadores"/>
      </w:pPr>
      <w:r>
        <w:rPr>
          <w:sz w:val="22"/>
        </w:rPr>
        <w:t>Modelos por frota: treinar modelos especializados por tipo de equipamento (793-D 2S, 3S, 4S, 5S) para capturar padrões específicos de cada frota.</w:t>
      </w:r>
    </w:p>
    <w:p>
      <w:pPr>
        <w:pStyle w:val="Commarcadores"/>
      </w:pPr>
      <w:r>
        <w:rPr>
          <w:sz w:val="22"/>
        </w:rPr>
        <w:t>Integração em tempo real: conectar o pipeline ao sistema de telemetria em produção para geração de alertas preventivos automáticos.</w:t>
      </w:r>
    </w:p>
    <w:p>
      <w:pPr>
        <w:pStyle w:val="Commarcadores"/>
      </w:pPr>
      <w:r>
        <w:rPr>
          <w:sz w:val="22"/>
        </w:rPr>
        <w:t>Análise de operador: coletar e incorporar dados de operador (ausentes no dataset atual) para investigar a hipótese H7 — correlação entre estilo de operação e perfil de falhas.</w:t>
      </w:r>
    </w:p>
    <w:p>
      <w:pPr>
        <w:pStyle w:val="Commarcadores"/>
      </w:pPr>
      <w:r>
        <w:rPr>
          <w:sz w:val="22"/>
        </w:rPr>
        <w:t>Modelos de série temporal: explorar abordagens como LSTM ou Temporal Fusion Transformer para capturar dependências temporais de longo prazo nos dados de alarme.</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