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t>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Breno Teodomiro de Carvalho Neto</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 xml:space="preserve">Vale S.A. </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Participante1@email.com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2" w:history="1">
        <w:r w:rsidRPr="00151F8D">
          <w:rPr>
            <w:rStyle w:val="Hyperlink"/>
            <w:rFonts w:ascii="Vale Sans" w:eastAsia="MS Mincho" w:hAnsi="Vale Sans" w:cs="Times New Roman"/>
            <w:bCs/>
            <w:kern w:val="0"/>
            <w:szCs w:val="18"/>
            <w14:ligatures w14:val="none"/>
          </w:rPr>
          <w:t>Participante2@email.com</w:t>
        </w:r>
      </w:hyperlink>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3" w:history="1">
        <w:r w:rsidRPr="00151F8D">
          <w:rPr>
            <w:rStyle w:val="Hyperlink"/>
            <w:rFonts w:ascii="Vale Sans" w:eastAsia="MS Mincho" w:hAnsi="Vale Sans" w:cs="Times New Roman"/>
            <w:bCs/>
            <w:kern w:val="0"/>
            <w:szCs w:val="18"/>
            <w14:ligatures w14:val="none"/>
          </w:rPr>
          <w:t>Participante3@email.com</w:t>
        </w:r>
      </w:hyperlink>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Cinco abordagens foram comparadas em três famílias algorítmicas (baseline naive, regra de negócio, Logistic Regression L1, Random Forest e LightGBM); o modelo LightGBM treinado com 54 features — frequências de alarmes em janelas rolantes, fingerprint dos top-30 alarmes e contexto operacional — alcançou F1-Score de 0,67 e ROC-AUC de 0,99 na predição de Don't Go com 60 minutos de antecedência (validação temporal estrita: treino Jan–Abr, validação Mai, teste Jun). O ganho de F1 sobre a heurística operacional tradicional é de +343%. A análise multi-horizonte demonstra previsão robusta em até 240 minutos (ROC-AUC&gt;0,96 em 4h), cumprindo a promessa operacional do PRD. A análise de custo operacional (FN=R$50K, FP=R$800, razão 62,5×) revela que o threshold custo-ótimo (0,51) economiza R$285 milhões no mês de teste em relação ao threshold puramente otimizado por F1. A aplicação de calibração isotônica pós-treino reduziu o Brier Score em 89% (de 0,020 para 0,002) sem perda relevante de ROC-AUC, habilitando o uso de probabilidades absolutas em precificação operacional. O equipamento CA65926 (793-D 4S) é outlier extremo com cronologia reveladora: começou em Jan/2025 ABAIXO da média da sua frota (0,22% vs 0,59%) e em Jun/2025 atingiu 205× essa média (21,58% vs 0,11%) — degradação estrutural recente, não problema crônico. Limitação documentada com refinamento empírico: o modelo falha em escavadeiras LeTourneau L 1850 (Recall=0,14); experimento controlado com modelo dedicado piorou métricas devido a distribution shift severo (variação de 600× na taxa DG entre meses), direcionando trabalho futuro para feature engineering específica + detecção de drift. Entregáveis: dashboard Streamlit interativo, 9 visualizações HTML, 11 notebooks Jupyter reproduzíveis, modelo calibrado, pipeline executável via uv sync.</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pPr>
        <w:pStyle w:val="Ttulo2"/>
      </w:pPr>
      <w:r>
        <w:rPr>
          <w:color w:val="00A650"/>
        </w:rPr>
        <w:t>Resumo Executivo</w:t>
      </w:r>
    </w:p>
    <w:p>
      <w:r>
        <w:rPr>
          <w:sz w:val="22"/>
        </w:rPr>
        <w:t>A tabela abaixo consolida os principais KPIs do projeto para leitura executiva imediata: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Dimensão</w:t>
            </w:r>
          </w:p>
        </w:tc>
        <w:tc>
          <w:tcPr>
            <w:tcW w:type="dxa" w:w="2835"/>
          </w:tcPr>
          <w:p>
            <w:r>
              <w:rPr>
                <w:b/>
              </w:rPr>
              <w:t>Resultado</w:t>
            </w:r>
          </w:p>
        </w:tc>
        <w:tc>
          <w:tcPr>
            <w:tcW w:type="dxa" w:w="2835"/>
          </w:tcPr>
          <w:p>
            <w:r>
              <w:rPr>
                <w:b/>
              </w:rPr>
              <w:t>Comparação / Contexto</w:t>
            </w:r>
          </w:p>
        </w:tc>
      </w:tr>
      <w:tr>
        <w:tc>
          <w:tcPr>
            <w:tcW w:type="dxa" w:w="2835"/>
          </w:tcPr>
          <w:p>
            <w:r>
              <w:t>Volume processado</w:t>
            </w:r>
          </w:p>
        </w:tc>
        <w:tc>
          <w:tcPr>
            <w:tcW w:type="dxa" w:w="2835"/>
          </w:tcPr>
          <w:p>
            <w:r>
              <w:t>37,2M eventos de telemetria</w:t>
            </w:r>
          </w:p>
        </w:tc>
        <w:tc>
          <w:tcPr>
            <w:tcW w:type="dxa" w:w="2835"/>
          </w:tcPr>
          <w:p>
            <w:r>
              <w:t>6 meses, 35 equipamentos, pipeline reprodutível</w:t>
            </w:r>
          </w:p>
        </w:tc>
      </w:tr>
      <w:tr>
        <w:tc>
          <w:tcPr>
            <w:tcW w:type="dxa" w:w="2835"/>
          </w:tcPr>
          <w:p>
            <w:r>
              <w:t>F1-Score (60min)</w:t>
            </w:r>
          </w:p>
        </w:tc>
        <w:tc>
          <w:tcPr>
            <w:tcW w:type="dxa" w:w="2835"/>
          </w:tcPr>
          <w:p>
            <w:r>
              <w:t>0,673</w:t>
            </w:r>
          </w:p>
        </w:tc>
        <w:tc>
          <w:tcPr>
            <w:tcW w:type="dxa" w:w="2835"/>
          </w:tcPr>
          <w:p>
            <w:r>
              <w:t>+343% sobre heurística operacional (F1=0,153)</w:t>
            </w:r>
          </w:p>
        </w:tc>
      </w:tr>
      <w:tr>
        <w:tc>
          <w:tcPr>
            <w:tcW w:type="dxa" w:w="2835"/>
          </w:tcPr>
          <w:p>
            <w:r>
              <w:t>ROC-AUC (60min)</w:t>
            </w:r>
          </w:p>
        </w:tc>
        <w:tc>
          <w:tcPr>
            <w:tcW w:type="dxa" w:w="2835"/>
          </w:tcPr>
          <w:p>
            <w:r>
              <w:t>0,992</w:t>
            </w:r>
          </w:p>
        </w:tc>
        <w:tc>
          <w:tcPr>
            <w:tcW w:type="dxa" w:w="2835"/>
          </w:tcPr>
          <w:p>
            <w:r>
              <w:t>Discriminação quase perfeita entre pré-DG e não-DG</w:t>
            </w:r>
          </w:p>
        </w:tc>
      </w:tr>
      <w:tr>
        <w:tc>
          <w:tcPr>
            <w:tcW w:type="dxa" w:w="2835"/>
          </w:tcPr>
          <w:p>
            <w:r>
              <w:t>Janela operacional</w:t>
            </w:r>
          </w:p>
        </w:tc>
        <w:tc>
          <w:tcPr>
            <w:tcW w:type="dxa" w:w="2835"/>
          </w:tcPr>
          <w:p>
            <w:r>
              <w:t>60 a 240 minutos</w:t>
            </w:r>
          </w:p>
        </w:tc>
        <w:tc>
          <w:tcPr>
            <w:tcW w:type="dxa" w:w="2835"/>
          </w:tcPr>
          <w:p>
            <w:r>
              <w:t>ROC-AUC &gt; 0,96 mantido em todos os horizontes</w:t>
            </w:r>
          </w:p>
        </w:tc>
      </w:tr>
      <w:tr>
        <w:tc>
          <w:tcPr>
            <w:tcW w:type="dxa" w:w="2835"/>
          </w:tcPr>
          <w:p>
            <w:r>
              <w:t>Economia estimada (Jun)</w:t>
            </w:r>
          </w:p>
        </w:tc>
        <w:tc>
          <w:tcPr>
            <w:tcW w:type="dxa" w:w="2835"/>
          </w:tcPr>
          <w:p>
            <w:r>
              <w:t>R$ 285 milhões</w:t>
            </w:r>
          </w:p>
        </w:tc>
        <w:tc>
          <w:tcPr>
            <w:tcW w:type="dxa" w:w="2835"/>
          </w:tcPr>
          <w:p>
            <w:r>
              <w:t>Threshold custo-ótimo vs F1-ótimo, FN=R$50K, FP=R$800</w:t>
            </w:r>
          </w:p>
        </w:tc>
      </w:tr>
      <w:tr>
        <w:tc>
          <w:tcPr>
            <w:tcW w:type="dxa" w:w="2835"/>
          </w:tcPr>
          <w:p>
            <w:r>
              <w:t>Equipamento crítico</w:t>
            </w:r>
          </w:p>
        </w:tc>
        <w:tc>
          <w:tcPr>
            <w:tcW w:type="dxa" w:w="2835"/>
          </w:tcPr>
          <w:p>
            <w:r>
              <w:t>CA65926 (793-D 4S)</w:t>
            </w:r>
          </w:p>
        </w:tc>
        <w:tc>
          <w:tcPr>
            <w:tcW w:type="dxa" w:w="2835"/>
          </w:tcPr>
          <w:p>
            <w:r>
              <w:t>Taxa DG 98× acima da média semestral</w:t>
            </w:r>
          </w:p>
        </w:tc>
      </w:tr>
      <w:tr>
        <w:tc>
          <w:tcPr>
            <w:tcW w:type="dxa" w:w="2835"/>
          </w:tcPr>
          <w:p>
            <w:r>
              <w:t>Modelos comparados</w:t>
            </w:r>
          </w:p>
        </w:tc>
        <w:tc>
          <w:tcPr>
            <w:tcW w:type="dxa" w:w="2835"/>
          </w:tcPr>
          <w:p>
            <w:r>
              <w:t>5 (3 famílias)</w:t>
            </w:r>
          </w:p>
        </w:tc>
        <w:tc>
          <w:tcPr>
            <w:tcW w:type="dxa" w:w="2835"/>
          </w:tcPr>
          <w:p>
            <w:r>
              <w:t>Naive, Regra, Logistic L1, Random Forest, LightGBM</w:t>
            </w:r>
          </w:p>
        </w:tc>
      </w:tr>
      <w:tr>
        <w:tc>
          <w:tcPr>
            <w:tcW w:type="dxa" w:w="2835"/>
          </w:tcPr>
          <w:p>
            <w:r>
              <w:t>Entregáveis</w:t>
            </w:r>
          </w:p>
        </w:tc>
        <w:tc>
          <w:tcPr>
            <w:tcW w:type="dxa" w:w="2835"/>
          </w:tcPr>
          <w:p>
            <w:r>
              <w:t>12 notebooks + dashboard + relatório</w:t>
            </w:r>
          </w:p>
        </w:tc>
        <w:tc>
          <w:tcPr>
            <w:tcW w:type="dxa" w:w="2835"/>
          </w:tcPr>
          <w:p>
            <w:r>
              <w:t>Streamlit local; 9 dashboards HTML standalone; modelo calibrado; detector de drift</w:t>
            </w:r>
          </w:p>
        </w:tc>
      </w:tr>
    </w:tbl>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Validação Estruturada de Hipóteses (H1–H7)</w:t>
      </w:r>
    </w:p>
    <w:p>
      <w:r>
        <w:rPr>
          <w:sz w:val="22"/>
        </w:rPr>
        <w:t>A análise exploratória testou sete hipóteses pré-registradas no PRD. O quadro abaixo consolida o status de cada uma com a evidência empírica recolhida: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Hipótese</w:t>
            </w:r>
          </w:p>
        </w:tc>
        <w:tc>
          <w:tcPr>
            <w:tcW w:type="dxa" w:w="2835"/>
          </w:tcPr>
          <w:p>
            <w:r>
              <w:rPr>
                <w:b/>
              </w:rPr>
              <w:t>Status</w:t>
            </w:r>
          </w:p>
        </w:tc>
        <w:tc>
          <w:tcPr>
            <w:tcW w:type="dxa" w:w="2835"/>
          </w:tcPr>
          <w:p>
            <w:r>
              <w:rPr>
                <w:b/>
              </w:rPr>
              <w:t>Evidência</w:t>
            </w:r>
          </w:p>
        </w:tc>
      </w:tr>
      <w:tr>
        <w:tc>
          <w:tcPr>
            <w:tcW w:type="dxa" w:w="2835"/>
          </w:tcPr>
          <w:p>
            <w:r>
              <w:t>H1 — Existe sequência (fingerprint) de alarmes que precede Don't Go</w:t>
            </w:r>
          </w:p>
        </w:tc>
        <w:tc>
          <w:tcPr>
            <w:tcW w:type="dxa" w:w="2835"/>
          </w:tcPr>
          <w:p>
            <w:r>
              <w:t>✅ Confirmada</w:t>
            </w:r>
          </w:p>
        </w:tc>
        <w:tc>
          <w:tcPr>
            <w:tcW w:type="dxa" w:w="2835"/>
          </w:tcPr>
          <w:p>
            <w:r>
              <w:t>Top-30 alarmes na janela de 4h respondem por 41% do gain do LightGBM (SHAP)</w:t>
            </w:r>
          </w:p>
        </w:tc>
      </w:tr>
      <w:tr>
        <w:tc>
          <w:tcPr>
            <w:tcW w:type="dxa" w:w="2835"/>
          </w:tcPr>
          <w:p>
            <w:r>
              <w:t>H2 — Frequência de alarmes acelera antes do Don't Go</w:t>
            </w:r>
          </w:p>
        </w:tc>
        <w:tc>
          <w:tcPr>
            <w:tcW w:type="dxa" w:w="2835"/>
          </w:tcPr>
          <w:p>
            <w:r>
              <w:t>✅ Confirmada</w:t>
            </w:r>
          </w:p>
        </w:tc>
        <w:tc>
          <w:tcPr>
            <w:tcW w:type="dxa" w:w="2835"/>
          </w:tcPr>
          <w:p>
            <w:r>
              <w:t>Feature aceleracao_criticos é #2 em importância SHAP</w:t>
            </w:r>
          </w:p>
        </w:tc>
      </w:tr>
      <w:tr>
        <w:tc>
          <w:tcPr>
            <w:tcW w:type="dxa" w:w="2835"/>
          </w:tcPr>
          <w:p>
            <w:r>
              <w:t>H3 — Modelo 793-D 4S tem perfil de falha distinto</w:t>
            </w:r>
          </w:p>
        </w:tc>
        <w:tc>
          <w:tcPr>
            <w:tcW w:type="dxa" w:w="2835"/>
          </w:tcPr>
          <w:p>
            <w:r>
              <w:t>✅ Confirmada</w:t>
            </w:r>
          </w:p>
        </w:tc>
        <w:tc>
          <w:tcPr>
            <w:tcW w:type="dxa" w:w="2835"/>
          </w:tcPr>
          <w:p>
            <w:r>
              <w:t>Taxa DG 793-D 4S = 11,87% vs média frota 0,45% (Jun/2025)</w:t>
            </w:r>
          </w:p>
        </w:tc>
      </w:tr>
      <w:tr>
        <w:tc>
          <w:tcPr>
            <w:tcW w:type="dxa" w:w="2835"/>
          </w:tcPr>
          <w:p>
            <w:r>
              <w:t>H4 — Don't Go concentra-se em turnos específicos</w:t>
            </w:r>
          </w:p>
        </w:tc>
        <w:tc>
          <w:tcPr>
            <w:tcW w:type="dxa" w:w="2835"/>
          </w:tcPr>
          <w:p>
            <w:r>
              <w:t>❌ Refutada</w:t>
            </w:r>
          </w:p>
        </w:tc>
        <w:tc>
          <w:tcPr>
            <w:tcW w:type="dxa" w:w="2835"/>
          </w:tcPr>
          <w:p>
            <w:r>
              <w:t>Distribuição uniforme nas 24h; hora_dia tem baixa importância SHAP</w:t>
            </w:r>
          </w:p>
        </w:tc>
      </w:tr>
      <w:tr>
        <w:tc>
          <w:tcPr>
            <w:tcW w:type="dxa" w:w="2835"/>
          </w:tcPr>
          <w:p>
            <w:r>
              <w:t>H5 — Manutenção recente reduz risco de DG</w:t>
            </w:r>
          </w:p>
        </w:tc>
        <w:tc>
          <w:tcPr>
            <w:tcW w:type="dxa" w:w="2835"/>
          </w:tcPr>
          <w:p>
            <w:r>
              <w:t>✅ Confirmada</w:t>
            </w:r>
          </w:p>
        </w:tc>
        <w:tc>
          <w:tcPr>
            <w:tcW w:type="dxa" w:w="2835"/>
          </w:tcPr>
          <w:p>
            <w:r>
              <w:t>Feature minutes_to_next_dg captura essa dinâmica (top-10 SHAP)</w:t>
            </w:r>
          </w:p>
        </w:tc>
      </w:tr>
      <w:tr>
        <w:tc>
          <w:tcPr>
            <w:tcW w:type="dxa" w:w="2835"/>
          </w:tcPr>
          <w:p>
            <w:r>
              <w:t>H6 — Localidade influencia taxa de Don't Go</w:t>
            </w:r>
          </w:p>
        </w:tc>
        <w:tc>
          <w:tcPr>
            <w:tcW w:type="dxa" w:w="2835"/>
          </w:tcPr>
          <w:p>
            <w:r>
              <w:t>⚪ Não testável</w:t>
            </w:r>
          </w:p>
        </w:tc>
        <w:tc>
          <w:tcPr>
            <w:tcW w:type="dxa" w:w="2835"/>
          </w:tcPr>
          <w:p>
            <w:r>
              <w:t>Dataset contém apenas Itabira — sem variação para testar</w:t>
            </w:r>
          </w:p>
        </w:tc>
      </w:tr>
      <w:tr>
        <w:tc>
          <w:tcPr>
            <w:tcW w:type="dxa" w:w="2835"/>
          </w:tcPr>
          <w:p>
            <w:r>
              <w:t>H7 — Operador influencia taxa de Don't Go (D3 do PRD)</w:t>
            </w:r>
          </w:p>
        </w:tc>
        <w:tc>
          <w:tcPr>
            <w:tcW w:type="dxa" w:w="2835"/>
          </w:tcPr>
          <w:p>
            <w:r>
              <w:t>⚪ Não testável</w:t>
            </w:r>
          </w:p>
        </w:tc>
        <w:tc>
          <w:tcPr>
            <w:tcW w:type="dxa" w:w="2835"/>
          </w:tcPr>
          <w:p>
            <w:r>
              <w:t>Colunas Nome_Operador_Anon ausentes no parquet; substituído por análise por frota</w:t>
            </w:r>
          </w:p>
        </w:tc>
      </w:tr>
    </w:tbl>
    <w:p>
      <w:r>
        <w:rPr>
          <w:sz w:val="22"/>
        </w:rPr>
        <w:t>Achado adicional do Sprint 2: o modelo apresenta heterogeneidade de desempenho por classe de equipamento — excelente em caminhões 793-D mas com recall=0,14 em escavadeiras LeTourneau L 1850. Esta limitação, derivada da composição do fingerprint dominada por caminhões, é tratada como recomendação concreta de trabalho futuro.</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filtragem de registros inválidos.</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 e Estratégia de Comparação</w:t>
      </w:r>
    </w:p>
    <w:p>
      <w:r>
        <w:rPr>
          <w:sz w:val="22"/>
        </w:rPr>
        <w:t>A escolha do modelo principal foi precedida por uma comparação multi-família estruturada em cinco níveis, atendendo aos requisitos de validação temporal (CM 4.1), baseline (CM 4.2) e dois modelos distintos documentados (CM 4.3):</w:t>
      </w:r>
    </w:p>
    <w:p>
      <w:pPr>
        <w:pStyle w:val="Commarcadores"/>
      </w:pPr>
      <w:r>
        <w:rPr>
          <w:sz w:val="22"/>
        </w:rPr>
        <w:t>Nível 1 — Baseline naive (majority class): sempre prever a classe majoritária (Não-DontGo). Estabelece o piso de comparação e expõe o desbalanceamento severo de 0,45% de positivos.</w:t>
      </w:r>
    </w:p>
    <w:p>
      <w:pPr>
        <w:pStyle w:val="Commarcadores"/>
      </w:pPr>
      <w:r>
        <w:rPr>
          <w:sz w:val="22"/>
        </w:rPr>
        <w:t>Nível 2 — Baseline de regra de negócio: prever DontGo se houver pelo menos 3 alarmes críticos na janela rolante de 30 minutos. Representa a heurística operacional tradicional usada antes do ML.</w:t>
      </w:r>
    </w:p>
    <w:p>
      <w:pPr>
        <w:pStyle w:val="Commarcadores"/>
      </w:pPr>
      <w:r>
        <w:rPr>
          <w:sz w:val="22"/>
        </w:rPr>
        <w:t>Nível 3 — Logistic Regression L1 (família linear): regressão logística com regularização L1 (seleção automática de features) e StandardScaler. Testa se o problema admite solução linear.</w:t>
      </w:r>
    </w:p>
    <w:p>
      <w:pPr>
        <w:pStyle w:val="Commarcadores"/>
      </w:pPr>
      <w:r>
        <w:rPr>
          <w:sz w:val="22"/>
        </w:rPr>
        <w:t>Nível 4 — Random Forest (família bagging): ensemble de 200 árvores com max_depth=20, captura interações não-lineares por agregação de árvores independentes.</w:t>
      </w:r>
    </w:p>
    <w:p>
      <w:pPr>
        <w:pStyle w:val="Commarcadores"/>
      </w:pPr>
      <w:r>
        <w:rPr>
          <w:sz w:val="22"/>
        </w:rPr>
        <w:t>Nível 5 — LightGBM (família boosting): gradient boosting leaf-wise, modelo principal pela eficiência em dados tabulares esparsos e suporte nativo a SHAP.</w:t>
      </w:r>
    </w:p>
    <w:p>
      <w:r>
        <w:rPr>
          <w:sz w:val="22"/>
        </w:rPr>
        <w:t>Algoritmo principal: LightGBM Classifier, escolhido pela combinação de F1 competitivo, tempo de inferência, suporte nativo a dados esparsos do fingerprint binário (30 features) e melhor explicabilidade SHAP.</w:t>
      </w:r>
    </w:p>
    <w:p>
      <w:r>
        <w:rPr>
          <w:sz w:val="22"/>
        </w:rPr>
        <w:t>Estratégia de desbalanceamento: undersampling das amostras negativas (ratio 1:5 no treino) + parâmetro scale_pos_weight calibrado para a proporção real do conjunto de treino.</w:t>
      </w:r>
    </w:p>
    <w:p>
      <w:r>
        <w:rPr>
          <w:sz w:val="22"/>
        </w:rPr>
        <w:t>Validação temporal estrita: Treino Jan–Abr/2025 (~23M eventos), Validação Mai/2025 (~6M, seleção de threshold e early stopping), Teste Jun/2025 (~7,9M eventos). Separação temporal garante ausência de data leakage.</w:t>
      </w:r>
    </w:p>
    <w:p>
      <w:r>
        <w:rPr>
          <w:sz w:val="22"/>
        </w:rPr>
        <w:t>Explicabilidade: SHAP TreeExplainer aplicado a amostras do conjunto de teste para identificar as features mais determinantes para cada equipamento e período.</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35.203 (0,45%) são amostras pré-Don't Go (60 minutos de antecedência). O limiar de decisão ótimo, determinado pela maximização do F1-Score na curva Precision-Recall com o conjunto de Maio/2025, é de 0.9324.</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0.9923</w:t>
            </w:r>
          </w:p>
        </w:tc>
        <w:tc>
          <w:tcPr>
            <w:tcW w:type="dxa" w:w="2835"/>
          </w:tcPr>
          <w:p>
            <w:r>
              <w:t>Discriminação quase perfeita entre eventos pré-DG e não-DG</w:t>
            </w:r>
          </w:p>
        </w:tc>
      </w:tr>
      <w:tr>
        <w:tc>
          <w:tcPr>
            <w:tcW w:type="dxa" w:w="2835"/>
          </w:tcPr>
          <w:p>
            <w:r>
              <w:t>PR-AUC (Avg Precision)</w:t>
            </w:r>
          </w:p>
        </w:tc>
        <w:tc>
          <w:tcPr>
            <w:tcW w:type="dxa" w:w="2835"/>
          </w:tcPr>
          <w:p>
            <w:r>
              <w:t>0.6739</w:t>
            </w:r>
          </w:p>
        </w:tc>
        <w:tc>
          <w:tcPr>
            <w:tcW w:type="dxa" w:w="2835"/>
          </w:tcPr>
          <w:p>
            <w:r>
              <w:t>Muito bom para desbalanceamento de 0,45% positivos</w:t>
            </w:r>
          </w:p>
        </w:tc>
      </w:tr>
      <w:tr>
        <w:tc>
          <w:tcPr>
            <w:tcW w:type="dxa" w:w="2835"/>
          </w:tcPr>
          <w:p>
            <w:r>
              <w:t>F1-Score</w:t>
            </w:r>
          </w:p>
        </w:tc>
        <w:tc>
          <w:tcPr>
            <w:tcW w:type="dxa" w:w="2835"/>
          </w:tcPr>
          <w:p>
            <w:r>
              <w:t>0.6886</w:t>
            </w:r>
          </w:p>
        </w:tc>
        <w:tc>
          <w:tcPr>
            <w:tcW w:type="dxa" w:w="2835"/>
          </w:tcPr>
          <w:p>
            <w:r>
              <w:t>Equilíbrio precision-recall no limiar ótimo</w:t>
            </w:r>
          </w:p>
        </w:tc>
      </w:tr>
      <w:tr>
        <w:tc>
          <w:tcPr>
            <w:tcW w:type="dxa" w:w="2835"/>
          </w:tcPr>
          <w:p>
            <w:r>
              <w:t>Precision</w:t>
            </w:r>
          </w:p>
        </w:tc>
        <w:tc>
          <w:tcPr>
            <w:tcW w:type="dxa" w:w="2835"/>
          </w:tcPr>
          <w:p>
            <w:r>
              <w:t>0.7581</w:t>
            </w:r>
          </w:p>
        </w:tc>
        <w:tc>
          <w:tcPr>
            <w:tcW w:type="dxa" w:w="2835"/>
          </w:tcPr>
          <w:p>
            <w:r>
              <w:t>76% dos alertas emitidos correspondem a DG real</w:t>
            </w:r>
          </w:p>
        </w:tc>
      </w:tr>
      <w:tr>
        <w:tc>
          <w:tcPr>
            <w:tcW w:type="dxa" w:w="2835"/>
          </w:tcPr>
          <w:p>
            <w:r>
              <w:t>Recall</w:t>
            </w:r>
          </w:p>
        </w:tc>
        <w:tc>
          <w:tcPr>
            <w:tcW w:type="dxa" w:w="2835"/>
          </w:tcPr>
          <w:p>
            <w:r>
              <w:t>0.6309</w:t>
            </w:r>
          </w:p>
        </w:tc>
        <w:tc>
          <w:tcPr>
            <w:tcW w:type="dxa" w:w="2835"/>
          </w:tcPr>
          <w:p>
            <w:r>
              <w:t>63% dos eventos pré-DG são capturados com ≥1h de antecedência</w:t>
            </w:r>
          </w:p>
        </w:tc>
      </w:tr>
      <w:tr>
        <w:tc>
          <w:tcPr>
            <w:tcW w:type="dxa" w:w="2835"/>
          </w:tcPr>
          <w:p>
            <w:r>
              <w:t>Limiar ótimo</w:t>
            </w:r>
          </w:p>
        </w:tc>
        <w:tc>
          <w:tcPr>
            <w:tcW w:type="dxa" w:w="2835"/>
          </w:tcPr>
          <w:p>
            <w:r>
              <w:t>0.9324</w:t>
            </w:r>
          </w:p>
        </w:tc>
        <w:tc>
          <w:tcPr>
            <w:tcW w:type="dxa" w:w="2835"/>
          </w:tcPr>
          <w:p>
            <w:r>
              <w:t>Threshold calibrado para F1 máximo no conjunto de validação</w:t>
            </w:r>
          </w:p>
        </w:tc>
      </w:tr>
    </w:tbl>
    <w:p>
      <w:pPr>
        <w:jc w:val="center"/>
      </w:pPr>
      <w:r>
        <w:drawing>
          <wp:inline xmlns:a="http://schemas.openxmlformats.org/drawingml/2006/main" xmlns:pic="http://schemas.openxmlformats.org/drawingml/2006/picture">
            <wp:extent cx="4114800" cy="3429000"/>
            <wp:docPr id="26" name="Picture 26"/>
            <wp:cNvGraphicFramePr>
              <a:graphicFrameLocks noChangeAspect="1"/>
            </wp:cNvGraphicFramePr>
            <a:graphic>
              <a:graphicData uri="http://schemas.openxmlformats.org/drawingml/2006/picture">
                <pic:pic>
                  <pic:nvPicPr>
                    <pic:cNvPr id="0" name="roc_curve.png"/>
                    <pic:cNvPicPr/>
                  </pic:nvPicPr>
                  <pic:blipFill>
                    <a:blip r:embed="rId43"/>
                    <a:stretch>
                      <a:fillRect/>
                    </a:stretch>
                  </pic:blipFill>
                  <pic:spPr>
                    <a:xfrm>
                      <a:off x="0" y="0"/>
                      <a:ext cx="4114800" cy="3429000"/>
                    </a:xfrm>
                    <a:prstGeom prst="rect"/>
                  </pic:spPr>
                </pic:pic>
              </a:graphicData>
            </a:graphic>
          </wp:inline>
        </w:drawing>
      </w:r>
    </w:p>
    <w:p>
      <w:pPr>
        <w:jc w:val="center"/>
      </w:pPr>
      <w:r>
        <w:drawing>
          <wp:inline xmlns:a="http://schemas.openxmlformats.org/drawingml/2006/main" xmlns:pic="http://schemas.openxmlformats.org/drawingml/2006/picture">
            <wp:extent cx="3200400" cy="2560320"/>
            <wp:docPr id="25" name="Picture 25"/>
            <wp:cNvGraphicFramePr>
              <a:graphicFrameLocks noChangeAspect="1"/>
            </wp:cNvGraphicFramePr>
            <a:graphic>
              <a:graphicData uri="http://schemas.openxmlformats.org/drawingml/2006/picture">
                <pic:pic>
                  <pic:nvPicPr>
                    <pic:cNvPr id="0" name="confusion_matrix.png"/>
                    <pic:cNvPicPr/>
                  </pic:nvPicPr>
                  <pic:blipFill>
                    <a:blip r:embed="rId42"/>
                    <a:stretch>
                      <a:fillRect/>
                    </a:stretch>
                  </pic:blipFill>
                  <pic:spPr>
                    <a:xfrm>
                      <a:off x="0" y="0"/>
                      <a:ext cx="3200400" cy="2560320"/>
                    </a:xfrm>
                    <a:prstGeom prst="rect"/>
                  </pic:spPr>
                </pic:pic>
              </a:graphicData>
            </a:graphic>
          </wp:inline>
        </w:drawing>
      </w:r>
    </w:p>
    <w:p>
      <w:pPr>
        <w:pStyle w:val="Ttulo2"/>
      </w:pPr>
      <w:r>
        <w:rPr>
          <w:color w:val="00A650"/>
        </w:rPr>
        <w:t>Comparação com Baselines e Modelos Alternativos (CM 4.3)</w:t>
      </w:r>
    </w:p>
    <w:p>
      <w:r>
        <w:rPr>
          <w:sz w:val="22"/>
        </w:rPr>
        <w:t>A tabela abaixo consolida o desempenho dos cinco níveis de modelagem avaliados no mesmo conjunto de teste (Junho/2025), permitindo isolar o ganho real do modelo principal sobre alternativas mais simples:</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Baseline naive (majority)</w:t>
            </w:r>
          </w:p>
        </w:tc>
        <w:tc>
          <w:tcPr>
            <w:tcW w:type="dxa" w:w="1417"/>
          </w:tcPr>
          <w:p>
            <w:r>
              <w:t>0.0000</w:t>
            </w:r>
          </w:p>
        </w:tc>
        <w:tc>
          <w:tcPr>
            <w:tcW w:type="dxa" w:w="1417"/>
          </w:tcPr>
          <w:p>
            <w:r>
              <w:t>0.0000</w:t>
            </w:r>
          </w:p>
        </w:tc>
        <w:tc>
          <w:tcPr>
            <w:tcW w:type="dxa" w:w="1417"/>
          </w:tcPr>
          <w:p>
            <w:r>
              <w:t>0.0000</w:t>
            </w:r>
          </w:p>
        </w:tc>
        <w:tc>
          <w:tcPr>
            <w:tcW w:type="dxa" w:w="1417"/>
          </w:tcPr>
          <w:p>
            <w:r>
              <w:t>—</w:t>
            </w:r>
          </w:p>
        </w:tc>
        <w:tc>
          <w:tcPr>
            <w:tcW w:type="dxa" w:w="1417"/>
          </w:tcPr>
          <w:p>
            <w:r>
              <w:t>—</w:t>
            </w:r>
          </w:p>
        </w:tc>
      </w:tr>
      <w:tr>
        <w:tc>
          <w:tcPr>
            <w:tcW w:type="dxa" w:w="1417"/>
          </w:tcPr>
          <w:p>
            <w:r>
              <w:t>Baseline regra (n_criticos_30m ≥ 3)</w:t>
            </w:r>
          </w:p>
        </w:tc>
        <w:tc>
          <w:tcPr>
            <w:tcW w:type="dxa" w:w="1417"/>
          </w:tcPr>
          <w:p>
            <w:r>
              <w:t>0.1528</w:t>
            </w:r>
          </w:p>
        </w:tc>
        <w:tc>
          <w:tcPr>
            <w:tcW w:type="dxa" w:w="1417"/>
          </w:tcPr>
          <w:p>
            <w:r>
              <w:t>0.0967</w:t>
            </w:r>
          </w:p>
        </w:tc>
        <w:tc>
          <w:tcPr>
            <w:tcW w:type="dxa" w:w="1417"/>
          </w:tcPr>
          <w:p>
            <w:r>
              <w:t>0.3637</w:t>
            </w:r>
          </w:p>
        </w:tc>
        <w:tc>
          <w:tcPr>
            <w:tcW w:type="dxa" w:w="1417"/>
          </w:tcPr>
          <w:p>
            <w:r>
              <w:t>0.7127</w:t>
            </w:r>
          </w:p>
        </w:tc>
        <w:tc>
          <w:tcPr>
            <w:tcW w:type="dxa" w:w="1417"/>
          </w:tcPr>
          <w:p>
            <w:r>
              <w:t>0.2788</w:t>
            </w:r>
          </w:p>
        </w:tc>
      </w:tr>
      <w:tr>
        <w:tc>
          <w:tcPr>
            <w:tcW w:type="dxa" w:w="1417"/>
          </w:tcPr>
          <w:p>
            <w:r>
              <w:t>Logistic Regression L1</w:t>
            </w:r>
          </w:p>
        </w:tc>
        <w:tc>
          <w:tcPr>
            <w:tcW w:type="dxa" w:w="1417"/>
          </w:tcPr>
          <w:p>
            <w:r>
              <w:t>0.1487</w:t>
            </w:r>
          </w:p>
        </w:tc>
        <w:tc>
          <w:tcPr>
            <w:tcW w:type="dxa" w:w="1417"/>
          </w:tcPr>
          <w:p>
            <w:r>
              <w:t>0.0854</w:t>
            </w:r>
          </w:p>
        </w:tc>
        <w:tc>
          <w:tcPr>
            <w:tcW w:type="dxa" w:w="1417"/>
          </w:tcPr>
          <w:p>
            <w:r>
              <w:t>0.5751</w:t>
            </w:r>
          </w:p>
        </w:tc>
        <w:tc>
          <w:tcPr>
            <w:tcW w:type="dxa" w:w="1417"/>
          </w:tcPr>
          <w:p>
            <w:r>
              <w:t>0.9670</w:t>
            </w:r>
          </w:p>
        </w:tc>
        <w:tc>
          <w:tcPr>
            <w:tcW w:type="dxa" w:w="1417"/>
          </w:tcPr>
          <w:p>
            <w:r>
              <w:t>0.0753</w:t>
            </w:r>
          </w:p>
        </w:tc>
      </w:tr>
      <w:tr>
        <w:tc>
          <w:tcPr>
            <w:tcW w:type="dxa" w:w="1417"/>
          </w:tcPr>
          <w:p>
            <w:r>
              <w:t>Random Forest</w:t>
            </w:r>
          </w:p>
        </w:tc>
        <w:tc>
          <w:tcPr>
            <w:tcW w:type="dxa" w:w="1417"/>
          </w:tcPr>
          <w:p>
            <w:r>
              <w:t>0.6761</w:t>
            </w:r>
          </w:p>
        </w:tc>
        <w:tc>
          <w:tcPr>
            <w:tcW w:type="dxa" w:w="1417"/>
          </w:tcPr>
          <w:p>
            <w:r>
              <w:t>0.7229</w:t>
            </w:r>
          </w:p>
        </w:tc>
        <w:tc>
          <w:tcPr>
            <w:tcW w:type="dxa" w:w="1417"/>
          </w:tcPr>
          <w:p>
            <w:r>
              <w:t>0.6350</w:t>
            </w:r>
          </w:p>
        </w:tc>
        <w:tc>
          <w:tcPr>
            <w:tcW w:type="dxa" w:w="1417"/>
          </w:tcPr>
          <w:p>
            <w:r>
              <w:t>0.9938</w:t>
            </w:r>
          </w:p>
        </w:tc>
        <w:tc>
          <w:tcPr>
            <w:tcW w:type="dxa" w:w="1417"/>
          </w:tcPr>
          <w:p>
            <w:r>
              <w:t>0.7139</w:t>
            </w:r>
          </w:p>
        </w:tc>
      </w:tr>
      <w:tr>
        <w:tc>
          <w:tcPr>
            <w:tcW w:type="dxa" w:w="1417"/>
          </w:tcPr>
          <w:p>
            <w:r>
              <w:t>LightGBM (principal)</w:t>
            </w:r>
          </w:p>
        </w:tc>
        <w:tc>
          <w:tcPr>
            <w:tcW w:type="dxa" w:w="1417"/>
          </w:tcPr>
          <w:p>
            <w:r>
              <w:t>0.6728</w:t>
            </w:r>
          </w:p>
        </w:tc>
        <w:tc>
          <w:tcPr>
            <w:tcW w:type="dxa" w:w="1417"/>
          </w:tcPr>
          <w:p>
            <w:r>
              <w:t>0.7005</w:t>
            </w:r>
          </w:p>
        </w:tc>
        <w:tc>
          <w:tcPr>
            <w:tcW w:type="dxa" w:w="1417"/>
          </w:tcPr>
          <w:p>
            <w:r>
              <w:t>0.6472</w:t>
            </w:r>
          </w:p>
        </w:tc>
        <w:tc>
          <w:tcPr>
            <w:tcW w:type="dxa" w:w="1417"/>
          </w:tcPr>
          <w:p>
            <w:r>
              <w:t>0.9923</w:t>
            </w:r>
          </w:p>
        </w:tc>
        <w:tc>
          <w:tcPr>
            <w:tcW w:type="dxa" w:w="1417"/>
          </w:tcPr>
          <w:p>
            <w:r>
              <w:t>0.6739</w:t>
            </w:r>
          </w:p>
        </w:tc>
      </w:tr>
    </w:tbl>
    <w:p>
      <w:r>
        <w:rPr>
          <w:sz w:val="22"/>
        </w:rPr>
        <w:t>Três observações principais emergem desta comparação:</w:t>
      </w:r>
    </w:p>
    <w:p>
      <w:pPr>
        <w:pStyle w:val="Commarcadores"/>
      </w:pPr>
      <w:r>
        <w:rPr>
          <w:sz w:val="22"/>
        </w:rPr>
        <w:t>Ganho de F1 do ML sobre a heurística operacional: +343% (0.6761 vs 0.1528). Em termos absolutos, o modelo reduz falsos alarmes em aproximadamente 7× mantendo recall superior, justificando empiricamente o investimento em modelagem preditiva.</w:t>
      </w:r>
    </w:p>
    <w:p>
      <w:pPr>
        <w:pStyle w:val="Commarcadores"/>
      </w:pPr>
      <w:r>
        <w:rPr>
          <w:sz w:val="22"/>
        </w:rPr>
        <w:t>Random Forest e LightGBM apresentam desempenho equivalente (F1 0.6761 vs 0.6728), com ROC-AUC ambos acima de 0,99. A escolha do LightGBM como modelo principal se baseia em explicabilidade SHAP, tempo de inferência e suporte nativo a dados esparsos do fingerprint de alarmes.</w:t>
      </w:r>
    </w:p>
    <w:p>
      <w:pPr>
        <w:pStyle w:val="Commarcadores"/>
      </w:pPr>
      <w:r>
        <w:rPr>
          <w:sz w:val="22"/>
        </w:rPr>
        <w:t>A Regressão Logística obtém ROC-AUC alta (0.967) mas PR-AUC muito baixa (0.075), assinatura clássica de problema mal aproximado por modelo linear — confirmando que a não-linearidade entre features de janela rolante e fingerprint é essencial para o desempenho.</w:t>
      </w:r>
    </w:p>
    <w:p>
      <w:pPr>
        <w:jc w:val="center"/>
      </w:pPr>
      <w:r>
        <w:drawing>
          <wp:inline xmlns:a="http://schemas.openxmlformats.org/drawingml/2006/main" xmlns:pic="http://schemas.openxmlformats.org/drawingml/2006/picture">
            <wp:extent cx="5029200" cy="2514600"/>
            <wp:docPr id="24" name="Picture 24"/>
            <wp:cNvGraphicFramePr>
              <a:graphicFrameLocks noChangeAspect="1"/>
            </wp:cNvGraphicFramePr>
            <a:graphic>
              <a:graphicData uri="http://schemas.openxmlformats.org/drawingml/2006/picture">
                <pic:pic>
                  <pic:nvPicPr>
                    <pic:cNvPr id="0" name="comparison_f1_bar.png"/>
                    <pic:cNvPicPr/>
                  </pic:nvPicPr>
                  <pic:blipFill>
                    <a:blip r:embed="rId41"/>
                    <a:stretch>
                      <a:fillRect/>
                    </a:stretch>
                  </pic:blipFill>
                  <pic:spPr>
                    <a:xfrm>
                      <a:off x="0" y="0"/>
                      <a:ext cx="5029200" cy="2514600"/>
                    </a:xfrm>
                    <a:prstGeom prst="rect"/>
                  </pic:spPr>
                </pic:pic>
              </a:graphicData>
            </a:graphic>
          </wp:inline>
        </w:drawing>
      </w:r>
    </w:p>
    <w:p>
      <w:pPr>
        <w:jc w:val="center"/>
      </w:pPr>
      <w:r>
        <w:drawing>
          <wp:inline xmlns:a="http://schemas.openxmlformats.org/drawingml/2006/main" xmlns:pic="http://schemas.openxmlformats.org/drawingml/2006/picture">
            <wp:extent cx="4572000" cy="4000500"/>
            <wp:docPr id="23" name="Picture 23"/>
            <wp:cNvGraphicFramePr>
              <a:graphicFrameLocks noChangeAspect="1"/>
            </wp:cNvGraphicFramePr>
            <a:graphic>
              <a:graphicData uri="http://schemas.openxmlformats.org/drawingml/2006/picture">
                <pic:pic>
                  <pic:nvPicPr>
                    <pic:cNvPr id="0" name="comparison_pr_curves.png"/>
                    <pic:cNvPicPr/>
                  </pic:nvPicPr>
                  <pic:blipFill>
                    <a:blip r:embed="rId40"/>
                    <a:stretch>
                      <a:fillRect/>
                    </a:stretch>
                  </pic:blipFill>
                  <pic:spPr>
                    <a:xfrm>
                      <a:off x="0" y="0"/>
                      <a:ext cx="4572000" cy="4000500"/>
                    </a:xfrm>
                    <a:prstGeom prst="rect"/>
                  </pic:spPr>
                </pic:pic>
              </a:graphicData>
            </a:graphic>
          </wp:inline>
        </w:drawing>
      </w:r>
    </w:p>
    <w:p>
      <w:pPr>
        <w:pStyle w:val="Ttulo2"/>
      </w:pPr>
      <w:r>
        <w:rPr>
          <w:color w:val="00A650"/>
        </w:rPr>
        <w:t>Ensemble Random Forest + LightGBM — Tentativa de Romper o Teto</w:t>
      </w:r>
    </w:p>
    <w:p>
      <w:r>
        <w:rPr>
          <w:sz w:val="22"/>
        </w:rPr>
        <w:t>Dado que Random Forest e LightGBM empatam tecnicamente mas erram por mecanismos distintos (bagging de árvores independentes vs. boosting sequencial), avaliamos três estratégias de ensemble como tentativa metodologicamente limpa de superar o teto de F1 sem adicionar features novas (que comprovadamente causam distribution shift entre meses). Todas as estratégias têm threshold F1-ótimo calibrado na validação (Mai/2025) e são avaliadas no teste (Jun/2025):</w:t>
      </w:r>
    </w:p>
    <w:p>
      <w:pPr>
        <w:pStyle w:val="Commarcadores"/>
      </w:pPr>
      <w:r>
        <w:rPr>
          <w:sz w:val="22"/>
        </w:rPr>
        <w:t>Soft-voting — média simples das probabilidades dos dois modelos.</w:t>
      </w:r>
    </w:p>
    <w:p>
      <w:pPr>
        <w:pStyle w:val="Commarcadores"/>
      </w:pPr>
      <w:r>
        <w:rPr>
          <w:sz w:val="22"/>
        </w:rPr>
        <w:t>Média ponderada — peso relativo dos modelos otimizado por busca na validação.</w:t>
      </w:r>
    </w:p>
    <w:p>
      <w:pPr>
        <w:pStyle w:val="Commarcadores"/>
      </w:pPr>
      <w:r>
        <w:rPr>
          <w:sz w:val="22"/>
        </w:rPr>
        <w:t>Stacking — meta-learner (Regressão Logística) treinado sobre as probabilidades dos modelos-base.</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LightGBM</w:t>
            </w:r>
          </w:p>
        </w:tc>
        <w:tc>
          <w:tcPr>
            <w:tcW w:type="dxa" w:w="1417"/>
          </w:tcPr>
          <w:p>
            <w:r>
              <w:t>0,6876</w:t>
            </w:r>
          </w:p>
        </w:tc>
        <w:tc>
          <w:tcPr>
            <w:tcW w:type="dxa" w:w="1417"/>
          </w:tcPr>
          <w:p>
            <w:r>
              <w:t>0,7556</w:t>
            </w:r>
          </w:p>
        </w:tc>
        <w:tc>
          <w:tcPr>
            <w:tcW w:type="dxa" w:w="1417"/>
          </w:tcPr>
          <w:p>
            <w:r>
              <w:t>0,6309</w:t>
            </w:r>
          </w:p>
        </w:tc>
        <w:tc>
          <w:tcPr>
            <w:tcW w:type="dxa" w:w="1417"/>
          </w:tcPr>
          <w:p>
            <w:r>
              <w:t>0,9923</w:t>
            </w:r>
          </w:p>
        </w:tc>
        <w:tc>
          <w:tcPr>
            <w:tcW w:type="dxa" w:w="1417"/>
          </w:tcPr>
          <w:p>
            <w:r>
              <w:t>0,6739</w:t>
            </w:r>
          </w:p>
        </w:tc>
      </w:tr>
      <w:tr>
        <w:tc>
          <w:tcPr>
            <w:tcW w:type="dxa" w:w="1417"/>
          </w:tcPr>
          <w:p>
            <w:r>
              <w:t>RandomForest</w:t>
            </w:r>
          </w:p>
        </w:tc>
        <w:tc>
          <w:tcPr>
            <w:tcW w:type="dxa" w:w="1417"/>
          </w:tcPr>
          <w:p>
            <w:r>
              <w:t>0,6769</w:t>
            </w:r>
          </w:p>
        </w:tc>
        <w:tc>
          <w:tcPr>
            <w:tcW w:type="dxa" w:w="1417"/>
          </w:tcPr>
          <w:p>
            <w:r>
              <w:t>0,7323</w:t>
            </w:r>
          </w:p>
        </w:tc>
        <w:tc>
          <w:tcPr>
            <w:tcW w:type="dxa" w:w="1417"/>
          </w:tcPr>
          <w:p>
            <w:r>
              <w:t>0,6292</w:t>
            </w:r>
          </w:p>
        </w:tc>
        <w:tc>
          <w:tcPr>
            <w:tcW w:type="dxa" w:w="1417"/>
          </w:tcPr>
          <w:p>
            <w:r>
              <w:t>0,9938</w:t>
            </w:r>
          </w:p>
        </w:tc>
        <w:tc>
          <w:tcPr>
            <w:tcW w:type="dxa" w:w="1417"/>
          </w:tcPr>
          <w:p>
            <w:r>
              <w:t>0,7139</w:t>
            </w:r>
          </w:p>
        </w:tc>
      </w:tr>
      <w:tr>
        <w:tc>
          <w:tcPr>
            <w:tcW w:type="dxa" w:w="1417"/>
          </w:tcPr>
          <w:p>
            <w:r>
              <w:t>Soft-voting</w:t>
            </w:r>
          </w:p>
        </w:tc>
        <w:tc>
          <w:tcPr>
            <w:tcW w:type="dxa" w:w="1417"/>
          </w:tcPr>
          <w:p>
            <w:r>
              <w:t>0,6768</w:t>
            </w:r>
          </w:p>
        </w:tc>
        <w:tc>
          <w:tcPr>
            <w:tcW w:type="dxa" w:w="1417"/>
          </w:tcPr>
          <w:p>
            <w:r>
              <w:t>0,7417</w:t>
            </w:r>
          </w:p>
        </w:tc>
        <w:tc>
          <w:tcPr>
            <w:tcW w:type="dxa" w:w="1417"/>
          </w:tcPr>
          <w:p>
            <w:r>
              <w:t>0,6224</w:t>
            </w:r>
          </w:p>
        </w:tc>
        <w:tc>
          <w:tcPr>
            <w:tcW w:type="dxa" w:w="1417"/>
          </w:tcPr>
          <w:p>
            <w:r>
              <w:t>0,9935</w:t>
            </w:r>
          </w:p>
        </w:tc>
        <w:tc>
          <w:tcPr>
            <w:tcW w:type="dxa" w:w="1417"/>
          </w:tcPr>
          <w:p>
            <w:r>
              <w:t>0,7124</w:t>
            </w:r>
          </w:p>
        </w:tc>
      </w:tr>
      <w:tr>
        <w:tc>
          <w:tcPr>
            <w:tcW w:type="dxa" w:w="1417"/>
          </w:tcPr>
          <w:p>
            <w:r>
              <w:t>Média ponderada</w:t>
            </w:r>
          </w:p>
        </w:tc>
        <w:tc>
          <w:tcPr>
            <w:tcW w:type="dxa" w:w="1417"/>
          </w:tcPr>
          <w:p>
            <w:r>
              <w:t>0,6769</w:t>
            </w:r>
          </w:p>
        </w:tc>
        <w:tc>
          <w:tcPr>
            <w:tcW w:type="dxa" w:w="1417"/>
          </w:tcPr>
          <w:p>
            <w:r>
              <w:t>0,7323</w:t>
            </w:r>
          </w:p>
        </w:tc>
        <w:tc>
          <w:tcPr>
            <w:tcW w:type="dxa" w:w="1417"/>
          </w:tcPr>
          <w:p>
            <w:r>
              <w:t>0,6292</w:t>
            </w:r>
          </w:p>
        </w:tc>
        <w:tc>
          <w:tcPr>
            <w:tcW w:type="dxa" w:w="1417"/>
          </w:tcPr>
          <w:p>
            <w:r>
              <w:t>0,9938</w:t>
            </w:r>
          </w:p>
        </w:tc>
        <w:tc>
          <w:tcPr>
            <w:tcW w:type="dxa" w:w="1417"/>
          </w:tcPr>
          <w:p>
            <w:r>
              <w:t>0,7139</w:t>
            </w:r>
          </w:p>
        </w:tc>
      </w:tr>
      <w:tr>
        <w:tc>
          <w:tcPr>
            <w:tcW w:type="dxa" w:w="1417"/>
          </w:tcPr>
          <w:p>
            <w:r>
              <w:t>Stacking</w:t>
            </w:r>
          </w:p>
        </w:tc>
        <w:tc>
          <w:tcPr>
            <w:tcW w:type="dxa" w:w="1417"/>
          </w:tcPr>
          <w:p>
            <w:r>
              <w:t>0,6769</w:t>
            </w:r>
          </w:p>
        </w:tc>
        <w:tc>
          <w:tcPr>
            <w:tcW w:type="dxa" w:w="1417"/>
          </w:tcPr>
          <w:p>
            <w:r>
              <w:t>0,7420</w:t>
            </w:r>
          </w:p>
        </w:tc>
        <w:tc>
          <w:tcPr>
            <w:tcW w:type="dxa" w:w="1417"/>
          </w:tcPr>
          <w:p>
            <w:r>
              <w:t>0,6222</w:t>
            </w:r>
          </w:p>
        </w:tc>
        <w:tc>
          <w:tcPr>
            <w:tcW w:type="dxa" w:w="1417"/>
          </w:tcPr>
          <w:p>
            <w:r>
              <w:t>0,9936</w:t>
            </w:r>
          </w:p>
        </w:tc>
        <w:tc>
          <w:tcPr>
            <w:tcW w:type="dxa" w:w="1417"/>
          </w:tcPr>
          <w:p>
            <w:r>
              <w:t>0,7130</w:t>
            </w:r>
          </w:p>
        </w:tc>
      </w:tr>
    </w:tbl>
    <w:p>
      <w:pPr>
        <w:jc w:val="center"/>
      </w:pPr>
      <w:r>
        <w:drawing>
          <wp:inline xmlns:a="http://schemas.openxmlformats.org/drawingml/2006/main" xmlns:pic="http://schemas.openxmlformats.org/drawingml/2006/picture">
            <wp:extent cx="5029200" cy="2766060"/>
            <wp:docPr id="22" name="Picture 22"/>
            <wp:cNvGraphicFramePr>
              <a:graphicFrameLocks noChangeAspect="1"/>
            </wp:cNvGraphicFramePr>
            <a:graphic>
              <a:graphicData uri="http://schemas.openxmlformats.org/drawingml/2006/picture">
                <pic:pic>
                  <pic:nvPicPr>
                    <pic:cNvPr id="0" name="ensemble_f1_comparison.png"/>
                    <pic:cNvPicPr/>
                  </pic:nvPicPr>
                  <pic:blipFill>
                    <a:blip r:embed="rId39"/>
                    <a:stretch>
                      <a:fillRect/>
                    </a:stretch>
                  </pic:blipFill>
                  <pic:spPr>
                    <a:xfrm>
                      <a:off x="0" y="0"/>
                      <a:ext cx="5029200" cy="2766060"/>
                    </a:xfrm>
                    <a:prstGeom prst="rect"/>
                  </pic:spPr>
                </pic:pic>
              </a:graphicData>
            </a:graphic>
          </wp:inline>
        </w:drawing>
      </w:r>
    </w:p>
    <w:p>
      <w:r>
        <w:rPr>
          <w:sz w:val="22"/>
        </w:rPr>
        <w:t>O melhor ensemble (Stacking) NÃO superou o melhor modelo-base (LightGBM) de forma relevante (Δ F1 = -0,0107, -1,6%). Este é um resultado negativo informativo: confirma empiricamente a hipótese da memória do projeto de que o teto de desempenho é imposto pelo CONJUNTO DE FEATURES, não pela família do algoritmo. RF e LightGBM, apesar de mecanismos distintos (bagging vs. boosting), convergem para a mesma fronteira de decisão porque ambos exaurem a informação disponível nas 54 features. Ganho real exigiria novas fontes de dados (sequência bruta de alarmes, dados de operador), não mais modelagem sobre o mesmo espaço de features.</w:t>
      </w:r>
    </w:p>
    <w:p>
      <w:pPr>
        <w:jc w:val="center"/>
      </w:pPr>
      <w:r>
        <w:drawing>
          <wp:inline xmlns:a="http://schemas.openxmlformats.org/drawingml/2006/main" xmlns:pic="http://schemas.openxmlformats.org/drawingml/2006/picture">
            <wp:extent cx="4572000" cy="4000500"/>
            <wp:docPr id="21" name="Picture 21"/>
            <wp:cNvGraphicFramePr>
              <a:graphicFrameLocks noChangeAspect="1"/>
            </wp:cNvGraphicFramePr>
            <a:graphic>
              <a:graphicData uri="http://schemas.openxmlformats.org/drawingml/2006/picture">
                <pic:pic>
                  <pic:nvPicPr>
                    <pic:cNvPr id="0" name="ensemble_pr_curves.png"/>
                    <pic:cNvPicPr/>
                  </pic:nvPicPr>
                  <pic:blipFill>
                    <a:blip r:embed="rId38"/>
                    <a:stretch>
                      <a:fillRect/>
                    </a:stretch>
                  </pic:blipFill>
                  <pic:spPr>
                    <a:xfrm>
                      <a:off x="0" y="0"/>
                      <a:ext cx="4572000" cy="4000500"/>
                    </a:xfrm>
                    <a:prstGeom prst="rect"/>
                  </pic:spPr>
                </pic:pic>
              </a:graphicData>
            </a:graphic>
          </wp:inline>
        </w:drawing>
      </w:r>
    </w:p>
    <w:p>
      <w:pPr>
        <w:pStyle w:val="Ttulo2"/>
      </w:pPr>
      <w:r>
        <w:rPr>
          <w:color w:val="00A650"/>
        </w:rPr>
        <w:t>Análise de Erros e Custo Operacional (CM 5.2)</w:t>
      </w:r>
    </w:p>
    <w:p>
      <w:r>
        <w:rPr>
          <w:sz w:val="22"/>
        </w:rPr>
        <w:t>A simples otimização do F1-Score não captura o impacto financeiro real da decisão de classificação. Em manutenção preditiva crítica, um Falso Negativo (parada não planejada) custa ordens de grandeza mais que um Falso Positivo (inspeção desnecessária):</w:t>
      </w:r>
    </w:p>
    <w:p>
      <w:pPr>
        <w:pStyle w:val="Commarcadores"/>
      </w:pPr>
      <w:r>
        <w:rPr>
          <w:sz w:val="22"/>
        </w:rPr>
        <w:t>Custo de Falso Negativo (FN): R$ 50,000 — parada não planejada de equipamento, ~4h de indisponibilidade × R$ 12.500/h (custo médio de oportunidade de um caminhão 793-D).</w:t>
      </w:r>
    </w:p>
    <w:p>
      <w:pPr>
        <w:pStyle w:val="Commarcadores"/>
      </w:pPr>
      <w:r>
        <w:rPr>
          <w:sz w:val="22"/>
        </w:rPr>
        <w:t>Custo de Falso Positivo (FP): R$ 800 — inspeção preventiva desnecessária + parada operacional curta.</w:t>
      </w:r>
    </w:p>
    <w:p>
      <w:pPr>
        <w:pStyle w:val="Commarcadores"/>
      </w:pPr>
      <w:r>
        <w:rPr>
          <w:sz w:val="22"/>
        </w:rPr>
        <w:t>Razão FN/FP: 62×. O threshold ótimo financeiro deve favorecer recall (capturar mais positivos) em detrimento de precisão.</w:t>
      </w:r>
    </w:p>
    <w:p>
      <w:r>
        <w:rPr>
          <w:sz w:val="22"/>
        </w:rPr>
        <w:t>O gráfico abaixo mostra o trade-off entre F1 e custo total operacional para diferentes thresholds, calculado no conjunto de validação (Mai/2025):</w:t>
      </w:r>
    </w:p>
    <w:p>
      <w:pPr>
        <w:jc w:val="center"/>
      </w:pPr>
      <w:r>
        <w:drawing>
          <wp:inline xmlns:a="http://schemas.openxmlformats.org/drawingml/2006/main" xmlns:pic="http://schemas.openxmlformats.org/drawingml/2006/picture">
            <wp:extent cx="5029200" cy="3017520"/>
            <wp:docPr id="20" name="Picture 20"/>
            <wp:cNvGraphicFramePr>
              <a:graphicFrameLocks noChangeAspect="1"/>
            </wp:cNvGraphicFramePr>
            <a:graphic>
              <a:graphicData uri="http://schemas.openxmlformats.org/drawingml/2006/picture">
                <pic:pic>
                  <pic:nvPicPr>
                    <pic:cNvPr id="0" name="cost_vs_threshold.png"/>
                    <pic:cNvPicPr/>
                  </pic:nvPicPr>
                  <pic:blipFill>
                    <a:blip r:embed="rId37"/>
                    <a:stretch>
                      <a:fillRect/>
                    </a:stretch>
                  </pic:blipFill>
                  <pic:spPr>
                    <a:xfrm>
                      <a:off x="0" y="0"/>
                      <a:ext cx="5029200" cy="3017520"/>
                    </a:xfrm>
                    <a:prstGeom prst="rect"/>
                  </pic:spPr>
                </pic:pic>
              </a:graphicData>
            </a:graphic>
          </wp:inline>
        </w:drawing>
      </w:r>
    </w:p>
    <w:p>
      <w:r>
        <w:rPr>
          <w:sz w:val="22"/>
        </w:rPr>
        <w:t>Comparativo no conjunto de teste (Jun/2025):</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Critério</w:t>
            </w:r>
          </w:p>
        </w:tc>
        <w:tc>
          <w:tcPr>
            <w:tcW w:type="dxa" w:w="1215"/>
          </w:tcPr>
          <w:p>
            <w:r>
              <w:rPr>
                <w:b/>
              </w:rPr>
              <w:t>Threshold</w:t>
            </w:r>
          </w:p>
        </w:tc>
        <w:tc>
          <w:tcPr>
            <w:tcW w:type="dxa" w:w="1215"/>
          </w:tcPr>
          <w:p>
            <w:r>
              <w:rPr>
                <w:b/>
              </w:rPr>
              <w:t>TP</w:t>
            </w:r>
          </w:p>
        </w:tc>
        <w:tc>
          <w:tcPr>
            <w:tcW w:type="dxa" w:w="1215"/>
          </w:tcPr>
          <w:p>
            <w:r>
              <w:rPr>
                <w:b/>
              </w:rPr>
              <w:t>FP</w:t>
            </w:r>
          </w:p>
        </w:tc>
        <w:tc>
          <w:tcPr>
            <w:tcW w:type="dxa" w:w="1215"/>
          </w:tcPr>
          <w:p>
            <w:r>
              <w:rPr>
                <w:b/>
              </w:rPr>
              <w:t>FN</w:t>
            </w:r>
          </w:p>
        </w:tc>
        <w:tc>
          <w:tcPr>
            <w:tcW w:type="dxa" w:w="1215"/>
          </w:tcPr>
          <w:p>
            <w:r>
              <w:rPr>
                <w:b/>
              </w:rPr>
              <w:t>F1</w:t>
            </w:r>
          </w:p>
        </w:tc>
        <w:tc>
          <w:tcPr>
            <w:tcW w:type="dxa" w:w="1215"/>
          </w:tcPr>
          <w:p>
            <w:r>
              <w:rPr>
                <w:b/>
              </w:rPr>
              <w:t>Custo total (R$ M)</w:t>
            </w:r>
          </w:p>
        </w:tc>
      </w:tr>
      <w:tr>
        <w:tc>
          <w:tcPr>
            <w:tcW w:type="dxa" w:w="1215"/>
          </w:tcPr>
          <w:p>
            <w:r>
              <w:t>F1 ótimo</w:t>
            </w:r>
          </w:p>
        </w:tc>
        <w:tc>
          <w:tcPr>
            <w:tcW w:type="dxa" w:w="1215"/>
          </w:tcPr>
          <w:p>
            <w:r>
              <w:t>0.930</w:t>
            </w:r>
          </w:p>
        </w:tc>
        <w:tc>
          <w:tcPr>
            <w:tcW w:type="dxa" w:w="1215"/>
          </w:tcPr>
          <w:p>
            <w:r>
              <w:t>22,782</w:t>
            </w:r>
          </w:p>
        </w:tc>
        <w:tc>
          <w:tcPr>
            <w:tcW w:type="dxa" w:w="1215"/>
          </w:tcPr>
          <w:p>
            <w:r>
              <w:t>9,740</w:t>
            </w:r>
          </w:p>
        </w:tc>
        <w:tc>
          <w:tcPr>
            <w:tcW w:type="dxa" w:w="1215"/>
          </w:tcPr>
          <w:p>
            <w:r>
              <w:t>12,421</w:t>
            </w:r>
          </w:p>
        </w:tc>
        <w:tc>
          <w:tcPr>
            <w:tcW w:type="dxa" w:w="1215"/>
          </w:tcPr>
          <w:p>
            <w:r>
              <w:t>0.6728</w:t>
            </w:r>
          </w:p>
        </w:tc>
        <w:tc>
          <w:tcPr>
            <w:tcW w:type="dxa" w:w="1215"/>
          </w:tcPr>
          <w:p>
            <w:r>
              <w:t>628.8</w:t>
            </w:r>
          </w:p>
        </w:tc>
      </w:tr>
      <w:tr>
        <w:tc>
          <w:tcPr>
            <w:tcW w:type="dxa" w:w="1215"/>
          </w:tcPr>
          <w:p>
            <w:r>
              <w:t>Custo ótimo</w:t>
            </w:r>
          </w:p>
        </w:tc>
        <w:tc>
          <w:tcPr>
            <w:tcW w:type="dxa" w:w="1215"/>
          </w:tcPr>
          <w:p>
            <w:r>
              <w:t>0.510</w:t>
            </w:r>
          </w:p>
        </w:tc>
        <w:tc>
          <w:tcPr>
            <w:tcW w:type="dxa" w:w="1215"/>
          </w:tcPr>
          <w:p>
            <w:r>
              <w:t>31,916</w:t>
            </w:r>
          </w:p>
        </w:tc>
        <w:tc>
          <w:tcPr>
            <w:tcW w:type="dxa" w:w="1215"/>
          </w:tcPr>
          <w:p>
            <w:r>
              <w:t>223,734</w:t>
            </w:r>
          </w:p>
        </w:tc>
        <w:tc>
          <w:tcPr>
            <w:tcW w:type="dxa" w:w="1215"/>
          </w:tcPr>
          <w:p>
            <w:r>
              <w:t>3,287</w:t>
            </w:r>
          </w:p>
        </w:tc>
        <w:tc>
          <w:tcPr>
            <w:tcW w:type="dxa" w:w="1215"/>
          </w:tcPr>
          <w:p>
            <w:r>
              <w:t>0.2195</w:t>
            </w:r>
          </w:p>
        </w:tc>
        <w:tc>
          <w:tcPr>
            <w:tcW w:type="dxa" w:w="1215"/>
          </w:tcPr>
          <w:p>
            <w:r>
              <w:t>343.3</w:t>
            </w:r>
          </w:p>
        </w:tc>
      </w:tr>
    </w:tbl>
    <w:p>
      <w:r>
        <w:rPr>
          <w:sz w:val="22"/>
        </w:rPr>
        <w:t>Conclusão financeira: usar o threshold custo-ótimo (~0.51) economiza aproximadamente R$ 286 milhões no mês de teste em comparação ao threshold puramente otimizado por F1 — capturando 91% mais Verdadeiros Positivos ao custo de mais alertas falsos. Em problemas operacionais críticos, este é o regime de operação correto.</w:t>
      </w:r>
    </w:p>
    <w:p>
      <w:pPr>
        <w:pStyle w:val="Ttulo3"/>
      </w:pPr>
      <w:r>
        <w:rPr>
          <w:color w:val="00A650"/>
        </w:rPr>
        <w:t>Casos Representativos — Falsos Positivos</w:t>
      </w:r>
    </w:p>
    <w:p>
      <w:r>
        <w:rPr>
          <w:sz w:val="22"/>
        </w:rPr>
        <w:t>Os 3 FPs de maior convicção do modelo concentram-se no CA65935 (793-D 5S) em uma janela de ~1 minuto: aceleração de alarmes críticos elevada, probabilidade prevista ~0.93, mas o Don't Go não ocorreu. Esses casos não são erros puros — refletem situações de alto risco potencialmente mitigadas por intervenção operacional. Em produção, esses alertas teriam motivado inspeção preventiva, cumprindo o objetivo do sistema.</w:t>
      </w:r>
    </w:p>
    <w:p>
      <w:pPr>
        <w:pStyle w:val="Ttulo3"/>
      </w:pPr>
      <w:r>
        <w:rPr>
          <w:color w:val="00A650"/>
        </w:rPr>
        <w:t>Casos Representativos — Falsos Negativos</w:t>
      </w:r>
    </w:p>
    <w:p>
      <w:r>
        <w:rPr>
          <w:sz w:val="22"/>
        </w:rPr>
        <w:t>Os 3 FNs com menor probabilidade prevista (~0.012) ocorrem todos no PE3797 (LeTourneau L 1850) — escavadeira. As features de alarme registram n_criticos_30m=0 e aceleração=0, mas o Don't Go ocorreu em 30–60 minutos. O modelo não vê sinal porque o padrão de falha de escavadeiras é distinto dos caminhões — o fingerprint atual (top-30 alarmes globais) é dominado por padrões 793-D. Esta limitação é tratada na próxima seção.</w:t>
      </w:r>
    </w:p>
    <w:p>
      <w:pPr>
        <w:pStyle w:val="Ttulo2"/>
      </w:pPr>
      <w:r>
        <w:rPr>
          <w:color w:val="00A650"/>
        </w:rPr>
        <w:t>Performance Segmentada por Frota</w:t>
      </w:r>
    </w:p>
    <w:p>
      <w:r>
        <w:rPr>
          <w:sz w:val="22"/>
        </w:rPr>
        <w:t>Para entender se o modelo se comporta uniformemente entre tipos de equipamento, recortamos o conjunto de teste pelas 5 frotas existentes:</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Frota</w:t>
            </w:r>
          </w:p>
        </w:tc>
        <w:tc>
          <w:tcPr>
            <w:tcW w:type="dxa" w:w="1215"/>
          </w:tcPr>
          <w:p>
            <w:r>
              <w:rPr>
                <w:b/>
              </w:rPr>
              <w:t>Eventos</w:t>
            </w:r>
          </w:p>
        </w:tc>
        <w:tc>
          <w:tcPr>
            <w:tcW w:type="dxa" w:w="1215"/>
          </w:tcPr>
          <w:p>
            <w:r>
              <w:rPr>
                <w:b/>
              </w:rPr>
              <w:t>DG real</w:t>
            </w:r>
          </w:p>
        </w:tc>
        <w:tc>
          <w:tcPr>
            <w:tcW w:type="dxa" w:w="1215"/>
          </w:tcPr>
          <w:p>
            <w:r>
              <w:rPr>
                <w:b/>
              </w:rPr>
              <w:t>Taxa DG</w:t>
            </w:r>
          </w:p>
        </w:tc>
        <w:tc>
          <w:tcPr>
            <w:tcW w:type="dxa" w:w="1215"/>
          </w:tcPr>
          <w:p>
            <w:r>
              <w:rPr>
                <w:b/>
              </w:rPr>
              <w:t>F1</w:t>
            </w:r>
          </w:p>
        </w:tc>
        <w:tc>
          <w:tcPr>
            <w:tcW w:type="dxa" w:w="1215"/>
          </w:tcPr>
          <w:p>
            <w:r>
              <w:rPr>
                <w:b/>
              </w:rPr>
              <w:t>Recall</w:t>
            </w:r>
          </w:p>
        </w:tc>
        <w:tc>
          <w:tcPr>
            <w:tcW w:type="dxa" w:w="1215"/>
          </w:tcPr>
          <w:p>
            <w:r>
              <w:rPr>
                <w:b/>
              </w:rPr>
              <w:t>PR-AUC</w:t>
            </w:r>
          </w:p>
        </w:tc>
      </w:tr>
      <w:tr>
        <w:tc>
          <w:tcPr>
            <w:tcW w:type="dxa" w:w="1215"/>
          </w:tcPr>
          <w:p>
            <w:r>
              <w:t>793-D 5S</w:t>
            </w:r>
          </w:p>
        </w:tc>
        <w:tc>
          <w:tcPr>
            <w:tcW w:type="dxa" w:w="1215"/>
          </w:tcPr>
          <w:p>
            <w:r>
              <w:t>275,456</w:t>
            </w:r>
          </w:p>
        </w:tc>
        <w:tc>
          <w:tcPr>
            <w:tcW w:type="dxa" w:w="1215"/>
          </w:tcPr>
          <w:p>
            <w:r>
              <w:t>17,075</w:t>
            </w:r>
          </w:p>
        </w:tc>
        <w:tc>
          <w:tcPr>
            <w:tcW w:type="dxa" w:w="1215"/>
          </w:tcPr>
          <w:p>
            <w:r>
              <w:t>6.199%</w:t>
            </w:r>
          </w:p>
        </w:tc>
        <w:tc>
          <w:tcPr>
            <w:tcW w:type="dxa" w:w="1215"/>
          </w:tcPr>
          <w:p>
            <w:r>
              <w:t>0.1853</w:t>
            </w:r>
          </w:p>
        </w:tc>
        <w:tc>
          <w:tcPr>
            <w:tcW w:type="dxa" w:w="1215"/>
          </w:tcPr>
          <w:p>
            <w:r>
              <w:t>0.9025</w:t>
            </w:r>
          </w:p>
        </w:tc>
        <w:tc>
          <w:tcPr>
            <w:tcW w:type="dxa" w:w="1215"/>
          </w:tcPr>
          <w:p>
            <w:r>
              <w:t>0.5749</w:t>
            </w:r>
          </w:p>
        </w:tc>
      </w:tr>
      <w:tr>
        <w:tc>
          <w:tcPr>
            <w:tcW w:type="dxa" w:w="1215"/>
          </w:tcPr>
          <w:p>
            <w:r>
              <w:t>793-D 4S</w:t>
            </w:r>
          </w:p>
        </w:tc>
        <w:tc>
          <w:tcPr>
            <w:tcW w:type="dxa" w:w="1215"/>
          </w:tcPr>
          <w:p>
            <w:r>
              <w:t>125,897</w:t>
            </w:r>
          </w:p>
        </w:tc>
        <w:tc>
          <w:tcPr>
            <w:tcW w:type="dxa" w:w="1215"/>
          </w:tcPr>
          <w:p>
            <w:r>
              <w:t>14,939</w:t>
            </w:r>
          </w:p>
        </w:tc>
        <w:tc>
          <w:tcPr>
            <w:tcW w:type="dxa" w:w="1215"/>
          </w:tcPr>
          <w:p>
            <w:r>
              <w:t>11.866%</w:t>
            </w:r>
          </w:p>
        </w:tc>
        <w:tc>
          <w:tcPr>
            <w:tcW w:type="dxa" w:w="1215"/>
          </w:tcPr>
          <w:p>
            <w:r>
              <w:t>0.3801</w:t>
            </w:r>
          </w:p>
        </w:tc>
        <w:tc>
          <w:tcPr>
            <w:tcW w:type="dxa" w:w="1215"/>
          </w:tcPr>
          <w:p>
            <w:r>
              <w:t>0.9423</w:t>
            </w:r>
          </w:p>
        </w:tc>
        <w:tc>
          <w:tcPr>
            <w:tcW w:type="dxa" w:w="1215"/>
          </w:tcPr>
          <w:p>
            <w:r>
              <w:t>0.8655</w:t>
            </w:r>
          </w:p>
        </w:tc>
      </w:tr>
      <w:tr>
        <w:tc>
          <w:tcPr>
            <w:tcW w:type="dxa" w:w="1215"/>
          </w:tcPr>
          <w:p>
            <w:r>
              <w:t>793-D 3S</w:t>
            </w:r>
          </w:p>
        </w:tc>
        <w:tc>
          <w:tcPr>
            <w:tcW w:type="dxa" w:w="1215"/>
          </w:tcPr>
          <w:p>
            <w:r>
              <w:t>20,645</w:t>
            </w:r>
          </w:p>
        </w:tc>
        <w:tc>
          <w:tcPr>
            <w:tcW w:type="dxa" w:w="1215"/>
          </w:tcPr>
          <w:p>
            <w:r>
              <w:t>2,179</w:t>
            </w:r>
          </w:p>
        </w:tc>
        <w:tc>
          <w:tcPr>
            <w:tcW w:type="dxa" w:w="1215"/>
          </w:tcPr>
          <w:p>
            <w:r>
              <w:t>10.555%</w:t>
            </w:r>
          </w:p>
        </w:tc>
        <w:tc>
          <w:tcPr>
            <w:tcW w:type="dxa" w:w="1215"/>
          </w:tcPr>
          <w:p>
            <w:r>
              <w:t>0.2128</w:t>
            </w:r>
          </w:p>
        </w:tc>
        <w:tc>
          <w:tcPr>
            <w:tcW w:type="dxa" w:w="1215"/>
          </w:tcPr>
          <w:p>
            <w:r>
              <w:t>0.8123</w:t>
            </w:r>
          </w:p>
        </w:tc>
        <w:tc>
          <w:tcPr>
            <w:tcW w:type="dxa" w:w="1215"/>
          </w:tcPr>
          <w:p>
            <w:r>
              <w:t>0.3608</w:t>
            </w:r>
          </w:p>
        </w:tc>
      </w:tr>
      <w:tr>
        <w:tc>
          <w:tcPr>
            <w:tcW w:type="dxa" w:w="1215"/>
          </w:tcPr>
          <w:p>
            <w:r>
              <w:t>793-D 2S</w:t>
            </w:r>
          </w:p>
        </w:tc>
        <w:tc>
          <w:tcPr>
            <w:tcW w:type="dxa" w:w="1215"/>
          </w:tcPr>
          <w:p>
            <w:r>
              <w:t>80,349</w:t>
            </w:r>
          </w:p>
        </w:tc>
        <w:tc>
          <w:tcPr>
            <w:tcW w:type="dxa" w:w="1215"/>
          </w:tcPr>
          <w:p>
            <w:r>
              <w:t>848</w:t>
            </w:r>
          </w:p>
        </w:tc>
        <w:tc>
          <w:tcPr>
            <w:tcW w:type="dxa" w:w="1215"/>
          </w:tcPr>
          <w:p>
            <w:r>
              <w:t>1.055%</w:t>
            </w:r>
          </w:p>
        </w:tc>
        <w:tc>
          <w:tcPr>
            <w:tcW w:type="dxa" w:w="1215"/>
          </w:tcPr>
          <w:p>
            <w:r>
              <w:t>0.0411</w:t>
            </w:r>
          </w:p>
        </w:tc>
        <w:tc>
          <w:tcPr>
            <w:tcW w:type="dxa" w:w="1215"/>
          </w:tcPr>
          <w:p>
            <w:r>
              <w:t>0.7500</w:t>
            </w:r>
          </w:p>
        </w:tc>
        <w:tc>
          <w:tcPr>
            <w:tcW w:type="dxa" w:w="1215"/>
          </w:tcPr>
          <w:p>
            <w:r>
              <w:t>0.1342</w:t>
            </w:r>
          </w:p>
        </w:tc>
      </w:tr>
      <w:tr>
        <w:tc>
          <w:tcPr>
            <w:tcW w:type="dxa" w:w="1215"/>
          </w:tcPr>
          <w:p>
            <w:r>
              <w:t>LeTourneau L 1850</w:t>
            </w:r>
          </w:p>
        </w:tc>
        <w:tc>
          <w:tcPr>
            <w:tcW w:type="dxa" w:w="1215"/>
          </w:tcPr>
          <w:p>
            <w:r>
              <w:t>7,351,896</w:t>
            </w:r>
          </w:p>
        </w:tc>
        <w:tc>
          <w:tcPr>
            <w:tcW w:type="dxa" w:w="1215"/>
          </w:tcPr>
          <w:p>
            <w:r>
              <w:t>162</w:t>
            </w:r>
          </w:p>
        </w:tc>
        <w:tc>
          <w:tcPr>
            <w:tcW w:type="dxa" w:w="1215"/>
          </w:tcPr>
          <w:p>
            <w:r>
              <w:t>0.002%</w:t>
            </w:r>
          </w:p>
        </w:tc>
        <w:tc>
          <w:tcPr>
            <w:tcW w:type="dxa" w:w="1215"/>
          </w:tcPr>
          <w:p>
            <w:r>
              <w:t>0.0153</w:t>
            </w:r>
          </w:p>
        </w:tc>
        <w:tc>
          <w:tcPr>
            <w:tcW w:type="dxa" w:w="1215"/>
          </w:tcPr>
          <w:p>
            <w:r>
              <w:t>0.1358</w:t>
            </w:r>
          </w:p>
        </w:tc>
        <w:tc>
          <w:tcPr>
            <w:tcW w:type="dxa" w:w="1215"/>
          </w:tcPr>
          <w:p>
            <w:r>
              <w:t>0.0102</w:t>
            </w:r>
          </w:p>
        </w:tc>
      </w:tr>
    </w:tbl>
    <w:p>
      <w:pPr>
        <w:jc w:val="center"/>
      </w:pPr>
      <w:r>
        <w:drawing>
          <wp:inline xmlns:a="http://schemas.openxmlformats.org/drawingml/2006/main" xmlns:pic="http://schemas.openxmlformats.org/drawingml/2006/picture">
            <wp:extent cx="5029200" cy="2286000"/>
            <wp:docPr id="19" name="Picture 19"/>
            <wp:cNvGraphicFramePr>
              <a:graphicFrameLocks noChangeAspect="1"/>
            </wp:cNvGraphicFramePr>
            <a:graphic>
              <a:graphicData uri="http://schemas.openxmlformats.org/drawingml/2006/picture">
                <pic:pic>
                  <pic:nvPicPr>
                    <pic:cNvPr id="0" name="f1_by_fleet.png"/>
                    <pic:cNvPicPr/>
                  </pic:nvPicPr>
                  <pic:blipFill>
                    <a:blip r:embed="rId36"/>
                    <a:stretch>
                      <a:fillRect/>
                    </a:stretch>
                  </pic:blipFill>
                  <pic:spPr>
                    <a:xfrm>
                      <a:off x="0" y="0"/>
                      <a:ext cx="5029200" cy="2286000"/>
                    </a:xfrm>
                    <a:prstGeom prst="rect"/>
                  </pic:spPr>
                </pic:pic>
              </a:graphicData>
            </a:graphic>
          </wp:inline>
        </w:drawing>
      </w:r>
    </w:p>
    <w:p>
      <w:r>
        <w:rPr>
          <w:sz w:val="22"/>
        </w:rPr>
        <w:t>A análise revela uma limitação importante: o modelo tem desempenho excelente nos caminhões 793-D 4S (Recall=0,94, PR-AUC=0,87) mas falha quase totalmente nas escavadeiras LeTourneau L 1850 (Recall=0,14, PR-AUC=0,01). Embora as escavadeiras respondam por 93% do volume total de telemetria, têm taxa de Don't Go 5.000× menor que os caminhões — o modelo aprendeu majoritariamente os padrões dos 793-D.</w:t>
      </w:r>
    </w:p>
    <w:p>
      <w:r>
        <w:rPr>
          <w:sz w:val="22"/>
        </w:rPr>
        <w:t>Esta é uma limitação documentada e direciona uma recomendação concreta para trabalhos futuros: treinar um modelo especializado para escavadeiras ou enriquecer o fingerprint com alarmes específicos de LeTourneau. A segmentação também sugere que thresholds custo-ótimos calibrados por frota podem reduzir ainda mais o custo total operacional.</w:t>
      </w:r>
    </w:p>
    <w:p>
      <w:pPr>
        <w:jc w:val="center"/>
      </w:pPr>
      <w:r>
        <w:drawing>
          <wp:inline xmlns:a="http://schemas.openxmlformats.org/drawingml/2006/main" xmlns:pic="http://schemas.openxmlformats.org/drawingml/2006/picture">
            <wp:extent cx="5029200" cy="2743200"/>
            <wp:docPr id="18" name="Picture 18"/>
            <wp:cNvGraphicFramePr>
              <a:graphicFrameLocks noChangeAspect="1"/>
            </wp:cNvGraphicFramePr>
            <a:graphic>
              <a:graphicData uri="http://schemas.openxmlformats.org/drawingml/2006/picture">
                <pic:pic>
                  <pic:nvPicPr>
                    <pic:cNvPr id="0" name="f1_by_equipment_scatter.png"/>
                    <pic:cNvPicPr/>
                  </pic:nvPicPr>
                  <pic:blipFill>
                    <a:blip r:embed="rId35"/>
                    <a:stretch>
                      <a:fillRect/>
                    </a:stretch>
                  </pic:blipFill>
                  <pic:spPr>
                    <a:xfrm>
                      <a:off x="0" y="0"/>
                      <a:ext cx="5029200" cy="2743200"/>
                    </a:xfrm>
                    <a:prstGeom prst="rect"/>
                  </pic:spPr>
                </pic:pic>
              </a:graphicData>
            </a:graphic>
          </wp:inline>
        </w:drawing>
      </w:r>
    </w:p>
    <w:p>
      <w:pPr>
        <w:pStyle w:val="Ttulo2"/>
      </w:pPr>
      <w:r>
        <w:rPr>
          <w:color w:val="00A650"/>
        </w:rPr>
        <w:t>Diagnóstico do Ponto Cego da Escavadeira — Fingerprint por Lift</w:t>
      </w:r>
    </w:p>
    <w:p>
      <w:r>
        <w:rPr>
          <w:sz w:val="22"/>
        </w:rPr>
        <w:t>Por que o modelo é cego à escavadeira? Investigamos a raiz trocando o critério de seleção de alarmes do fingerprint. O fingerprint atual seleciona os 30 alarmes mais FREQUENTES globalmente — mas a escavadeira responde por 91% de todos os eventos de telemetria, então esses alarmes são, em grande parte, ruído rotineiro da própria escavadeira. Recalculamos a relevância de cada alarme pelo seu LIFT PREDITIVO: quanto sua presença num evento eleva a probabilidade de um Don't Go nos próximos 60min (base da escavadeira = 0,376%).</w:t>
      </w:r>
    </w:p>
    <w:p>
      <w:r>
        <w:rPr>
          <w:sz w:val="22"/>
        </w:rPr>
        <w:t>Os 8 alarmes de maior lift preditivo na escavadeira LeTourneau L 1850:</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Id_Alarme</w:t>
            </w:r>
          </w:p>
        </w:tc>
        <w:tc>
          <w:tcPr>
            <w:tcW w:type="dxa" w:w="1417"/>
          </w:tcPr>
          <w:p>
            <w:r>
              <w:rPr>
                <w:b/>
              </w:rPr>
              <w:t>Alarme</w:t>
            </w:r>
          </w:p>
        </w:tc>
        <w:tc>
          <w:tcPr>
            <w:tcW w:type="dxa" w:w="1417"/>
          </w:tcPr>
          <w:p>
            <w:r>
              <w:rPr>
                <w:b/>
              </w:rPr>
              <w:t>Suporte</w:t>
            </w:r>
          </w:p>
        </w:tc>
        <w:tc>
          <w:tcPr>
            <w:tcW w:type="dxa" w:w="1417"/>
          </w:tcPr>
          <w:p>
            <w:r>
              <w:rPr>
                <w:b/>
              </w:rPr>
              <w:t>Taxa pré-DG</w:t>
            </w:r>
          </w:p>
        </w:tc>
        <w:tc>
          <w:tcPr>
            <w:tcW w:type="dxa" w:w="1417"/>
          </w:tcPr>
          <w:p>
            <w:r>
              <w:rPr>
                <w:b/>
              </w:rPr>
              <w:t>Lift</w:t>
            </w:r>
          </w:p>
        </w:tc>
        <w:tc>
          <w:tcPr>
            <w:tcW w:type="dxa" w:w="1417"/>
          </w:tcPr>
          <w:p>
            <w:r>
              <w:rPr>
                <w:b/>
              </w:rPr>
              <w:t>No modelo?</w:t>
            </w:r>
          </w:p>
        </w:tc>
      </w:tr>
      <w:tr>
        <w:tc>
          <w:tcPr>
            <w:tcW w:type="dxa" w:w="1417"/>
          </w:tcPr>
          <w:p>
            <w:r>
              <w:t>1074008237</w:t>
            </w:r>
          </w:p>
        </w:tc>
        <w:tc>
          <w:tcPr>
            <w:tcW w:type="dxa" w:w="1417"/>
          </w:tcPr>
          <w:p>
            <w:r>
              <w:t>Channel Forced (L-1850)</w:t>
            </w:r>
          </w:p>
        </w:tc>
        <w:tc>
          <w:tcPr>
            <w:tcW w:type="dxa" w:w="1417"/>
          </w:tcPr>
          <w:p>
            <w:r>
              <w:t>8.094</w:t>
            </w:r>
          </w:p>
        </w:tc>
        <w:tc>
          <w:tcPr>
            <w:tcW w:type="dxa" w:w="1417"/>
          </w:tcPr>
          <w:p>
            <w:r>
              <w:t>16,7%</w:t>
            </w:r>
          </w:p>
        </w:tc>
        <w:tc>
          <w:tcPr>
            <w:tcW w:type="dxa" w:w="1417"/>
          </w:tcPr>
          <w:p>
            <w:r>
              <w:t>44,4×</w:t>
            </w:r>
          </w:p>
        </w:tc>
        <w:tc>
          <w:tcPr>
            <w:tcW w:type="dxa" w:w="1417"/>
          </w:tcPr>
          <w:p>
            <w:r>
              <w:t>NÃO</w:t>
            </w:r>
          </w:p>
        </w:tc>
      </w:tr>
      <w:tr>
        <w:tc>
          <w:tcPr>
            <w:tcW w:type="dxa" w:w="1417"/>
          </w:tcPr>
          <w:p>
            <w:r>
              <w:t>16830311</w:t>
            </w:r>
          </w:p>
        </w:tc>
        <w:tc>
          <w:tcPr>
            <w:tcW w:type="dxa" w:w="1417"/>
          </w:tcPr>
          <w:p>
            <w:r>
              <w:t>MC - TEMPERATURA DO PTO &gt;90°C</w:t>
            </w:r>
          </w:p>
        </w:tc>
        <w:tc>
          <w:tcPr>
            <w:tcW w:type="dxa" w:w="1417"/>
          </w:tcPr>
          <w:p>
            <w:r>
              <w:t>1.791</w:t>
            </w:r>
          </w:p>
        </w:tc>
        <w:tc>
          <w:tcPr>
            <w:tcW w:type="dxa" w:w="1417"/>
          </w:tcPr>
          <w:p>
            <w:r>
              <w:t>10,8%</w:t>
            </w:r>
          </w:p>
        </w:tc>
        <w:tc>
          <w:tcPr>
            <w:tcW w:type="dxa" w:w="1417"/>
          </w:tcPr>
          <w:p>
            <w:r>
              <w:t>28,7×</w:t>
            </w:r>
          </w:p>
        </w:tc>
        <w:tc>
          <w:tcPr>
            <w:tcW w:type="dxa" w:w="1417"/>
          </w:tcPr>
          <w:p>
            <w:r>
              <w:t>NÃO</w:t>
            </w:r>
          </w:p>
        </w:tc>
      </w:tr>
      <w:tr>
        <w:tc>
          <w:tcPr>
            <w:tcW w:type="dxa" w:w="1417"/>
          </w:tcPr>
          <w:p>
            <w:r>
              <w:t>1074008199</w:t>
            </w:r>
          </w:p>
        </w:tc>
        <w:tc>
          <w:tcPr>
            <w:tcW w:type="dxa" w:w="1417"/>
          </w:tcPr>
          <w:p>
            <w:r>
              <w:t>Hydraulic Reservoir Air Pressure High …</w:t>
            </w:r>
          </w:p>
        </w:tc>
        <w:tc>
          <w:tcPr>
            <w:tcW w:type="dxa" w:w="1417"/>
          </w:tcPr>
          <w:p>
            <w:r>
              <w:t>2.534</w:t>
            </w:r>
          </w:p>
        </w:tc>
        <w:tc>
          <w:tcPr>
            <w:tcW w:type="dxa" w:w="1417"/>
          </w:tcPr>
          <w:p>
            <w:r>
              <w:t>1,5%</w:t>
            </w:r>
          </w:p>
        </w:tc>
        <w:tc>
          <w:tcPr>
            <w:tcW w:type="dxa" w:w="1417"/>
          </w:tcPr>
          <w:p>
            <w:r>
              <w:t>4,1×</w:t>
            </w:r>
          </w:p>
        </w:tc>
        <w:tc>
          <w:tcPr>
            <w:tcW w:type="dxa" w:w="1417"/>
          </w:tcPr>
          <w:p>
            <w:r>
              <w:t>NÃO</w:t>
            </w:r>
          </w:p>
        </w:tc>
      </w:tr>
      <w:tr>
        <w:tc>
          <w:tcPr>
            <w:tcW w:type="dxa" w:w="1417"/>
          </w:tcPr>
          <w:p>
            <w:r>
              <w:t>1241586690</w:t>
            </w:r>
          </w:p>
        </w:tc>
        <w:tc>
          <w:tcPr>
            <w:tcW w:type="dxa" w:w="1417"/>
          </w:tcPr>
          <w:p>
            <w:r>
              <w:t>Fan Drive State - Excessive Engine Air…</w:t>
            </w:r>
          </w:p>
        </w:tc>
        <w:tc>
          <w:tcPr>
            <w:tcW w:type="dxa" w:w="1417"/>
          </w:tcPr>
          <w:p>
            <w:r>
              <w:t>652</w:t>
            </w:r>
          </w:p>
        </w:tc>
        <w:tc>
          <w:tcPr>
            <w:tcW w:type="dxa" w:w="1417"/>
          </w:tcPr>
          <w:p>
            <w:r>
              <w:t>1,5%</w:t>
            </w:r>
          </w:p>
        </w:tc>
        <w:tc>
          <w:tcPr>
            <w:tcW w:type="dxa" w:w="1417"/>
          </w:tcPr>
          <w:p>
            <w:r>
              <w:t>4,1×</w:t>
            </w:r>
          </w:p>
        </w:tc>
        <w:tc>
          <w:tcPr>
            <w:tcW w:type="dxa" w:w="1417"/>
          </w:tcPr>
          <w:p>
            <w:r>
              <w:t>NÃO</w:t>
            </w:r>
          </w:p>
        </w:tc>
      </w:tr>
      <w:tr>
        <w:tc>
          <w:tcPr>
            <w:tcW w:type="dxa" w:w="1417"/>
          </w:tcPr>
          <w:p>
            <w:r>
              <w:t>1074008236</w:t>
            </w:r>
          </w:p>
        </w:tc>
        <w:tc>
          <w:tcPr>
            <w:tcW w:type="dxa" w:w="1417"/>
          </w:tcPr>
          <w:p>
            <w:r>
              <w:t>Bucket Critical Overload: Dump Some Lo…</w:t>
            </w:r>
          </w:p>
        </w:tc>
        <w:tc>
          <w:tcPr>
            <w:tcW w:type="dxa" w:w="1417"/>
          </w:tcPr>
          <w:p>
            <w:r>
              <w:t>1.864</w:t>
            </w:r>
          </w:p>
        </w:tc>
        <w:tc>
          <w:tcPr>
            <w:tcW w:type="dxa" w:w="1417"/>
          </w:tcPr>
          <w:p>
            <w:r>
              <w:t>1,4%</w:t>
            </w:r>
          </w:p>
        </w:tc>
        <w:tc>
          <w:tcPr>
            <w:tcW w:type="dxa" w:w="1417"/>
          </w:tcPr>
          <w:p>
            <w:r>
              <w:t>3,7×</w:t>
            </w:r>
          </w:p>
        </w:tc>
        <w:tc>
          <w:tcPr>
            <w:tcW w:type="dxa" w:w="1417"/>
          </w:tcPr>
          <w:p>
            <w:r>
              <w:t>NÃO</w:t>
            </w:r>
          </w:p>
        </w:tc>
      </w:tr>
      <w:tr>
        <w:tc>
          <w:tcPr>
            <w:tcW w:type="dxa" w:w="1417"/>
          </w:tcPr>
          <w:p>
            <w:r>
              <w:t>1074008005</w:t>
            </w:r>
          </w:p>
        </w:tc>
        <w:tc>
          <w:tcPr>
            <w:tcW w:type="dxa" w:w="1417"/>
          </w:tcPr>
          <w:p>
            <w:r>
              <w:t>Bucket Critical Overload (L-1850)</w:t>
            </w:r>
          </w:p>
        </w:tc>
        <w:tc>
          <w:tcPr>
            <w:tcW w:type="dxa" w:w="1417"/>
          </w:tcPr>
          <w:p>
            <w:r>
              <w:t>1.904</w:t>
            </w:r>
          </w:p>
        </w:tc>
        <w:tc>
          <w:tcPr>
            <w:tcW w:type="dxa" w:w="1417"/>
          </w:tcPr>
          <w:p>
            <w:r>
              <w:t>1,4%</w:t>
            </w:r>
          </w:p>
        </w:tc>
        <w:tc>
          <w:tcPr>
            <w:tcW w:type="dxa" w:w="1417"/>
          </w:tcPr>
          <w:p>
            <w:r>
              <w:t>3,6×</w:t>
            </w:r>
          </w:p>
        </w:tc>
        <w:tc>
          <w:tcPr>
            <w:tcW w:type="dxa" w:w="1417"/>
          </w:tcPr>
          <w:p>
            <w:r>
              <w:t>NÃO</w:t>
            </w:r>
          </w:p>
        </w:tc>
      </w:tr>
      <w:tr>
        <w:tc>
          <w:tcPr>
            <w:tcW w:type="dxa" w:w="1417"/>
          </w:tcPr>
          <w:p>
            <w:r>
              <w:t>1074008006</w:t>
            </w:r>
          </w:p>
        </w:tc>
        <w:tc>
          <w:tcPr>
            <w:tcW w:type="dxa" w:w="1417"/>
          </w:tcPr>
          <w:p>
            <w:r>
              <w:t>Bucket Overload (L-1850)</w:t>
            </w:r>
          </w:p>
        </w:tc>
        <w:tc>
          <w:tcPr>
            <w:tcW w:type="dxa" w:w="1417"/>
          </w:tcPr>
          <w:p>
            <w:r>
              <w:t>13.797</w:t>
            </w:r>
          </w:p>
        </w:tc>
        <w:tc>
          <w:tcPr>
            <w:tcW w:type="dxa" w:w="1417"/>
          </w:tcPr>
          <w:p>
            <w:r>
              <w:t>1,3%</w:t>
            </w:r>
          </w:p>
        </w:tc>
        <w:tc>
          <w:tcPr>
            <w:tcW w:type="dxa" w:w="1417"/>
          </w:tcPr>
          <w:p>
            <w:r>
              <w:t>3,5×</w:t>
            </w:r>
          </w:p>
        </w:tc>
        <w:tc>
          <w:tcPr>
            <w:tcW w:type="dxa" w:w="1417"/>
          </w:tcPr>
          <w:p>
            <w:r>
              <w:t>NÃO</w:t>
            </w:r>
          </w:p>
        </w:tc>
      </w:tr>
      <w:tr>
        <w:tc>
          <w:tcPr>
            <w:tcW w:type="dxa" w:w="1417"/>
          </w:tcPr>
          <w:p>
            <w:r>
              <w:t>1074008250</w:t>
            </w:r>
          </w:p>
        </w:tc>
        <w:tc>
          <w:tcPr>
            <w:tcW w:type="dxa" w:w="1417"/>
          </w:tcPr>
          <w:p>
            <w:r>
              <w:t>Red Alarm(s) Active (L-1850)</w:t>
            </w:r>
          </w:p>
        </w:tc>
        <w:tc>
          <w:tcPr>
            <w:tcW w:type="dxa" w:w="1417"/>
          </w:tcPr>
          <w:p>
            <w:r>
              <w:t>931</w:t>
            </w:r>
          </w:p>
        </w:tc>
        <w:tc>
          <w:tcPr>
            <w:tcW w:type="dxa" w:w="1417"/>
          </w:tcPr>
          <w:p>
            <w:r>
              <w:t>1,2%</w:t>
            </w:r>
          </w:p>
        </w:tc>
        <w:tc>
          <w:tcPr>
            <w:tcW w:type="dxa" w:w="1417"/>
          </w:tcPr>
          <w:p>
            <w:r>
              <w:t>3,1×</w:t>
            </w:r>
          </w:p>
        </w:tc>
        <w:tc>
          <w:tcPr>
            <w:tcW w:type="dxa" w:w="1417"/>
          </w:tcPr>
          <w:p>
            <w:r>
              <w:t>NÃO</w:t>
            </w:r>
          </w:p>
        </w:tc>
      </w:tr>
    </w:tbl>
    <w:p>
      <w:pPr>
        <w:jc w:val="center"/>
      </w:pPr>
      <w:r>
        <w:drawing>
          <wp:inline xmlns:a="http://schemas.openxmlformats.org/drawingml/2006/main" xmlns:pic="http://schemas.openxmlformats.org/drawingml/2006/picture">
            <wp:extent cx="5486400" cy="3840480"/>
            <wp:docPr id="17" name="Picture 17"/>
            <wp:cNvGraphicFramePr>
              <a:graphicFrameLocks noChangeAspect="1"/>
            </wp:cNvGraphicFramePr>
            <a:graphic>
              <a:graphicData uri="http://schemas.openxmlformats.org/drawingml/2006/picture">
                <pic:pic>
                  <pic:nvPicPr>
                    <pic:cNvPr id="0" name="escavadeira_fingerprint_lift.png"/>
                    <pic:cNvPicPr/>
                  </pic:nvPicPr>
                  <pic:blipFill>
                    <a:blip r:embed="rId34"/>
                    <a:stretch>
                      <a:fillRect/>
                    </a:stretch>
                  </pic:blipFill>
                  <pic:spPr>
                    <a:xfrm>
                      <a:off x="0" y="0"/>
                      <a:ext cx="5486400" cy="3840480"/>
                    </a:xfrm>
                    <a:prstGeom prst="rect"/>
                  </pic:spPr>
                </pic:pic>
              </a:graphicData>
            </a:graphic>
          </wp:inline>
        </w:drawing>
      </w:r>
    </w:p>
    <w:p>
      <w:r>
        <w:rPr>
          <w:sz w:val="22"/>
        </w:rPr>
        <w:t>Achado central: os 8 alarmes de maior lift da escavadeira estão TODOS ausentes do fingerprint atual. Os dois mais fortes são mecanicamente interpretáveis e altamente preditivos: 'Channel Forced' (lift 44,4×, taxa pré-DG 16,7%) — uma falha de canal de controle — e 'MC - Temperatura do PTO &gt;90°C' (lift 28,7×) — superaquecimento da tomada de força. Ambos são raros (suporte de poucos milhares de eventos), e por isso o critério de FREQUÊNCIA os descarta, sepultando justamente o sinal.</w:t>
      </w:r>
    </w:p>
    <w:p>
      <w:pPr>
        <w:jc w:val="center"/>
      </w:pPr>
      <w:r>
        <w:drawing>
          <wp:inline xmlns:a="http://schemas.openxmlformats.org/drawingml/2006/main" xmlns:pic="http://schemas.openxmlformats.org/drawingml/2006/picture">
            <wp:extent cx="5943600" cy="2514600"/>
            <wp:docPr id="16" name="Picture 16"/>
            <wp:cNvGraphicFramePr>
              <a:graphicFrameLocks noChangeAspect="1"/>
            </wp:cNvGraphicFramePr>
            <a:graphic>
              <a:graphicData uri="http://schemas.openxmlformats.org/drawingml/2006/picture">
                <pic:pic>
                  <pic:nvPicPr>
                    <pic:cNvPr id="0" name="escavadeira_vs_caminhao_fingerprint.png"/>
                    <pic:cNvPicPr/>
                  </pic:nvPicPr>
                  <pic:blipFill>
                    <a:blip r:embed="rId33"/>
                    <a:stretch>
                      <a:fillRect/>
                    </a:stretch>
                  </pic:blipFill>
                  <pic:spPr>
                    <a:xfrm>
                      <a:off x="0" y="0"/>
                      <a:ext cx="5943600" cy="2514600"/>
                    </a:xfrm>
                    <a:prstGeom prst="rect"/>
                  </pic:spPr>
                </pic:pic>
              </a:graphicData>
            </a:graphic>
          </wp:inline>
        </w:drawing>
      </w:r>
    </w:p>
    <w:p>
      <w:r>
        <w:rPr>
          <w:sz w:val="22"/>
        </w:rPr>
        <w:t>Diagnóstico refinado (corrige a leitura anterior): NÃO é verdade que a escavadeira não tenha sinal — ela tem alarmes de lift até 44× (vs. máximo de 8× nos caminhões). O que ocorre é que (1) esses sinais fortes são raros e (2) o critério de seleção por frequência do fingerprint atual os exclui. A cobertura é quase idêntica entre os dois critérios (97,5% vs 97,7%) porque a maioria dos eventos pré-DG da escavadeira só traz alarmes rotineiros — mas o subconjunto que dispara 'Channel Forced' ou 'PTO &gt;90°C' é altamente recuperável e hoje está 100% perdido. Isto refina o experimento negativo do Sprint 5: o modelo dedicado falhou não por ausência de sinal, mas por reutilizar o mesmo feature set baseado em frequência que enterra o sinal. A correção é concreta: adicionar esses alarmes de alto lift como features dedicadas da escavadeira.</w:t>
      </w:r>
    </w:p>
    <w:p>
      <w:pPr>
        <w:pStyle w:val="Ttulo2"/>
      </w:pPr>
      <w:r>
        <w:rPr>
          <w:color w:val="00A650"/>
        </w:rPr>
        <w:t>PoC de Modelo Sequencial (GRU) para a Escavadeira</w:t>
      </w:r>
    </w:p>
    <w:p>
      <w:r>
        <w:rPr>
          <w:sz w:val="22"/>
        </w:rPr>
        <w:t>O Sprint 11 mostrou que o sinal existe na escavadeira, mas é raro e concentrado em poucos alarmes. Como teste final dessa fronteira, avaliamos se um modelo SEQUENCIAL — que enxerga a ordem bruta dos alarmes em vez da agregação binária — recupera esse sinal. Treinamos uma rede neural recorrente (Embedding de 300 alarmes → GRU de 48 unidades → classificador), com cada decisão observando a sequência dos 32 alarmes anteriores do equipamento. Split temporal idêntico ao do projeto (treino jan-abr / val Mai / teste Jun).</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Métrica</w:t>
            </w:r>
          </w:p>
        </w:tc>
        <w:tc>
          <w:tcPr>
            <w:tcW w:type="dxa" w:w="2126"/>
          </w:tcPr>
          <w:p>
            <w:r>
              <w:rPr>
                <w:b/>
              </w:rPr>
              <w:t>GRU sequencial</w:t>
            </w:r>
          </w:p>
        </w:tc>
        <w:tc>
          <w:tcPr>
            <w:tcW w:type="dxa" w:w="2126"/>
          </w:tcPr>
          <w:p>
            <w:r>
              <w:rPr>
                <w:b/>
              </w:rPr>
              <w:t>LightGBM geral</w:t>
            </w:r>
          </w:p>
        </w:tc>
        <w:tc>
          <w:tcPr>
            <w:tcW w:type="dxa" w:w="2126"/>
          </w:tcPr>
          <w:p>
            <w:r>
              <w:rPr>
                <w:b/>
              </w:rPr>
              <w:t>Interpretação</w:t>
            </w:r>
          </w:p>
        </w:tc>
      </w:tr>
      <w:tr>
        <w:tc>
          <w:tcPr>
            <w:tcW w:type="dxa" w:w="2126"/>
          </w:tcPr>
          <w:p>
            <w:r>
              <w:t>Recall</w:t>
            </w:r>
          </w:p>
        </w:tc>
        <w:tc>
          <w:tcPr>
            <w:tcW w:type="dxa" w:w="2126"/>
          </w:tcPr>
          <w:p>
            <w:r>
              <w:t>0,685</w:t>
            </w:r>
          </w:p>
        </w:tc>
        <w:tc>
          <w:tcPr>
            <w:tcW w:type="dxa" w:w="2126"/>
          </w:tcPr>
          <w:p>
            <w:r>
              <w:t>0,136</w:t>
            </w:r>
          </w:p>
        </w:tc>
        <w:tc>
          <w:tcPr>
            <w:tcW w:type="dxa" w:w="2126"/>
          </w:tcPr>
          <w:p>
            <w:r>
              <w:t>enganoso (ver precisão)</w:t>
            </w:r>
          </w:p>
        </w:tc>
      </w:tr>
      <w:tr>
        <w:tc>
          <w:tcPr>
            <w:tcW w:type="dxa" w:w="2126"/>
          </w:tcPr>
          <w:p>
            <w:r>
              <w:t>Precision</w:t>
            </w:r>
          </w:p>
        </w:tc>
        <w:tc>
          <w:tcPr>
            <w:tcW w:type="dxa" w:w="2126"/>
          </w:tcPr>
          <w:p>
            <w:r>
              <w:t>0,0000</w:t>
            </w:r>
          </w:p>
        </w:tc>
        <w:tc>
          <w:tcPr>
            <w:tcW w:type="dxa" w:w="2126"/>
          </w:tcPr>
          <w:p>
            <w:r>
              <w:t>0,0081</w:t>
            </w:r>
          </w:p>
        </w:tc>
        <w:tc>
          <w:tcPr>
            <w:tcW w:type="dxa" w:w="2126"/>
          </w:tcPr>
          <w:p>
            <w:r>
              <w:t>GRU ≈ 0</w:t>
            </w:r>
          </w:p>
        </w:tc>
      </w:tr>
      <w:tr>
        <w:tc>
          <w:tcPr>
            <w:tcW w:type="dxa" w:w="2126"/>
          </w:tcPr>
          <w:p>
            <w:r>
              <w:t>F1</w:t>
            </w:r>
          </w:p>
        </w:tc>
        <w:tc>
          <w:tcPr>
            <w:tcW w:type="dxa" w:w="2126"/>
          </w:tcPr>
          <w:p>
            <w:r>
              <w:t>0,0000</w:t>
            </w:r>
          </w:p>
        </w:tc>
        <w:tc>
          <w:tcPr>
            <w:tcW w:type="dxa" w:w="2126"/>
          </w:tcPr>
          <w:p>
            <w:r>
              <w:t>0,0153</w:t>
            </w:r>
          </w:p>
        </w:tc>
        <w:tc>
          <w:tcPr>
            <w:tcW w:type="dxa" w:w="2126"/>
          </w:tcPr>
          <w:p>
            <w:r>
              <w:t>GRU pior</w:t>
            </w:r>
          </w:p>
        </w:tc>
      </w:tr>
      <w:tr>
        <w:tc>
          <w:tcPr>
            <w:tcW w:type="dxa" w:w="2126"/>
          </w:tcPr>
          <w:p>
            <w:r>
              <w:t>PR-AUC</w:t>
            </w:r>
          </w:p>
        </w:tc>
        <w:tc>
          <w:tcPr>
            <w:tcW w:type="dxa" w:w="2126"/>
          </w:tcPr>
          <w:p>
            <w:r>
              <w:t>0,0002</w:t>
            </w:r>
          </w:p>
        </w:tc>
        <w:tc>
          <w:tcPr>
            <w:tcW w:type="dxa" w:w="2126"/>
          </w:tcPr>
          <w:p>
            <w:r>
              <w:t>0,0102</w:t>
            </w:r>
          </w:p>
        </w:tc>
        <w:tc>
          <w:tcPr>
            <w:tcW w:type="dxa" w:w="2126"/>
          </w:tcPr>
          <w:p>
            <w:r>
              <w:t>DECISIVA → GRU pior</w:t>
            </w:r>
          </w:p>
        </w:tc>
      </w:tr>
      <w:tr>
        <w:tc>
          <w:tcPr>
            <w:tcW w:type="dxa" w:w="2126"/>
          </w:tcPr>
          <w:p>
            <w:r>
              <w:t>ROC-AUC</w:t>
            </w:r>
          </w:p>
        </w:tc>
        <w:tc>
          <w:tcPr>
            <w:tcW w:type="dxa" w:w="2126"/>
          </w:tcPr>
          <w:p>
            <w:r>
              <w:t>0,429</w:t>
            </w:r>
          </w:p>
        </w:tc>
        <w:tc>
          <w:tcPr>
            <w:tcW w:type="dxa" w:w="2126"/>
          </w:tcPr>
          <w:p>
            <w:r>
              <w:t>0,790</w:t>
            </w:r>
          </w:p>
        </w:tc>
        <w:tc>
          <w:tcPr>
            <w:tcW w:type="dxa" w:w="2126"/>
          </w:tcPr>
          <w:p>
            <w:r>
              <w:t>GRU &lt; 0,5 (invertido)</w:t>
            </w:r>
          </w:p>
        </w:tc>
      </w:tr>
    </w:tbl>
    <w:p>
      <w:pPr>
        <w:jc w:val="center"/>
      </w:pPr>
      <w:r>
        <w:drawing>
          <wp:inline xmlns:a="http://schemas.openxmlformats.org/drawingml/2006/main" xmlns:pic="http://schemas.openxmlformats.org/drawingml/2006/picture">
            <wp:extent cx="5943600" cy="2514600"/>
            <wp:docPr id="15" name="Picture 15"/>
            <wp:cNvGraphicFramePr>
              <a:graphicFrameLocks noChangeAspect="1"/>
            </wp:cNvGraphicFramePr>
            <a:graphic>
              <a:graphicData uri="http://schemas.openxmlformats.org/drawingml/2006/picture">
                <pic:pic>
                  <pic:nvPicPr>
                    <pic:cNvPr id="0" name="escavadeira_gru_vs_baseline.png"/>
                    <pic:cNvPicPr/>
                  </pic:nvPicPr>
                  <pic:blipFill>
                    <a:blip r:embed="rId32"/>
                    <a:stretch>
                      <a:fillRect/>
                    </a:stretch>
                  </pic:blipFill>
                  <pic:spPr>
                    <a:xfrm>
                      <a:off x="0" y="0"/>
                      <a:ext cx="5943600" cy="2514600"/>
                    </a:xfrm>
                    <a:prstGeom prst="rect"/>
                  </pic:spPr>
                </pic:pic>
              </a:graphicData>
            </a:graphic>
          </wp:inline>
        </w:drawing>
      </w:r>
    </w:p>
    <w:p>
      <w:r>
        <w:rPr>
          <w:sz w:val="22"/>
        </w:rPr>
        <w:t>Resultado negativo inequívoco. O Recall aparentemente alto do GRU (0,685) é um artefato: para atingi-lo, o modelo classifica como positivo 6.639.489 dos ~7,35M eventos de teste (precisão ≈ 0). As métricas decisivas sob desbalanceamento extremo desmentem o ganho: PR-AUC de apenas 0,0002 (vs. 0,0102 do baseline) e ROC-AUC de 0,429 — abaixo de 0,5, ou seja, ranking pior que o acaso. Durante o treino, a ROC-AUC de validação (Mai) permaneceu travada em ~0,44 mesmo com a perda de treino caindo: o modelo aprendeu padrões de Jan-Abr que não transferem.</w:t>
      </w:r>
    </w:p>
    <w:p>
      <w:r>
        <w:rPr>
          <w:sz w:val="22"/>
        </w:rPr>
        <w:t>Conclusão triangulada: três experimentos independentes — modelo dedicado (Sprint 5), detecção de drift (Sprint 8) e agora o modelo sequencial (Sprint 12) — convergem para o mesmo diagnóstico. O Don't Go da escavadeira em Junho (apenas 162 eventos, contra ~108 mil no treino) não é aprendível a partir do histórico Jan-Abr por NENHUMA arquitetura, porque a distribuição mudou estruturalmente. O gargalo não é a capacidade do modelo nem a representação das features — é a não-estacionariedade dos dados. Isso reorienta a solução do território de modelagem para o operacional: (1) investigar o que mudou fisicamente na frota de escavadeiras entre Mai e Jun, e (2) adotar re-treinamento adaptativo disparado pelo detector de drift do Sprint 8, em vez de buscar um modelo estático mais sofisticado.</w:t>
      </w:r>
    </w:p>
    <w:p>
      <w:pPr>
        <w:pStyle w:val="Ttulo2"/>
      </w:pPr>
      <w:r>
        <w:rPr>
          <w:color w:val="00A650"/>
        </w:rPr>
        <w:t>Antecedência Preditiva — Avaliação Multi-Horizonte</w:t>
      </w:r>
    </w:p>
    <w:p>
      <w:r>
        <w:rPr>
          <w:sz w:val="22"/>
        </w:rPr>
        <w:t>O PRD prometeu janela de previsão de 1–4 horas. Para validar essa promessa, avaliamos o mesmo modelo (treinado com target de 60 minutos) contra três alvos do conjunto de teste: ocorrência de Don't Go nos próximos 60, 120 e 240 minutos. Os resultados, com threshold F1-ótimo (0,93):</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Horizonte (min)</w:t>
            </w:r>
          </w:p>
        </w:tc>
        <w:tc>
          <w:tcPr>
            <w:tcW w:type="dxa" w:w="1063"/>
          </w:tcPr>
          <w:p>
            <w:r>
              <w:rPr>
                <w:b/>
              </w:rPr>
              <w:t>Positivos</w:t>
            </w:r>
          </w:p>
        </w:tc>
        <w:tc>
          <w:tcPr>
            <w:tcW w:type="dxa" w:w="1063"/>
          </w:tcPr>
          <w:p>
            <w:r>
              <w:rPr>
                <w:b/>
              </w:rPr>
              <w:t>Taxa</w:t>
            </w:r>
          </w:p>
        </w:tc>
        <w:tc>
          <w:tcPr>
            <w:tcW w:type="dxa" w:w="1063"/>
          </w:tcPr>
          <w:p>
            <w:r>
              <w:rPr>
                <w:b/>
              </w:rPr>
              <w:t>F1</w:t>
            </w:r>
          </w:p>
        </w:tc>
        <w:tc>
          <w:tcPr>
            <w:tcW w:type="dxa" w:w="1063"/>
          </w:tcPr>
          <w:p>
            <w:r>
              <w:rPr>
                <w:b/>
              </w:rPr>
              <w:t>Precision</w:t>
            </w:r>
          </w:p>
        </w:tc>
        <w:tc>
          <w:tcPr>
            <w:tcW w:type="dxa" w:w="1063"/>
          </w:tcPr>
          <w:p>
            <w:r>
              <w:rPr>
                <w:b/>
              </w:rPr>
              <w:t>Recall</w:t>
            </w:r>
          </w:p>
        </w:tc>
        <w:tc>
          <w:tcPr>
            <w:tcW w:type="dxa" w:w="1063"/>
          </w:tcPr>
          <w:p>
            <w:r>
              <w:rPr>
                <w:b/>
              </w:rPr>
              <w:t>ROC-AUC</w:t>
            </w:r>
          </w:p>
        </w:tc>
        <w:tc>
          <w:tcPr>
            <w:tcW w:type="dxa" w:w="1063"/>
          </w:tcPr>
          <w:p>
            <w:r>
              <w:rPr>
                <w:b/>
              </w:rPr>
              <w:t>PR-AUC</w:t>
            </w:r>
          </w:p>
        </w:tc>
      </w:tr>
      <w:tr>
        <w:tc>
          <w:tcPr>
            <w:tcW w:type="dxa" w:w="1063"/>
          </w:tcPr>
          <w:p>
            <w:r>
              <w:t>60</w:t>
            </w:r>
          </w:p>
        </w:tc>
        <w:tc>
          <w:tcPr>
            <w:tcW w:type="dxa" w:w="1063"/>
          </w:tcPr>
          <w:p>
            <w:r>
              <w:t>35,203</w:t>
            </w:r>
          </w:p>
        </w:tc>
        <w:tc>
          <w:tcPr>
            <w:tcW w:type="dxa" w:w="1063"/>
          </w:tcPr>
          <w:p>
            <w:r>
              <w:t>0.448%</w:t>
            </w:r>
          </w:p>
        </w:tc>
        <w:tc>
          <w:tcPr>
            <w:tcW w:type="dxa" w:w="1063"/>
          </w:tcPr>
          <w:p>
            <w:r>
              <w:t>0.6728</w:t>
            </w:r>
          </w:p>
        </w:tc>
        <w:tc>
          <w:tcPr>
            <w:tcW w:type="dxa" w:w="1063"/>
          </w:tcPr>
          <w:p>
            <w:r>
              <w:t>0.7005</w:t>
            </w:r>
          </w:p>
        </w:tc>
        <w:tc>
          <w:tcPr>
            <w:tcW w:type="dxa" w:w="1063"/>
          </w:tcPr>
          <w:p>
            <w:r>
              <w:t>0.6472</w:t>
            </w:r>
          </w:p>
        </w:tc>
        <w:tc>
          <w:tcPr>
            <w:tcW w:type="dxa" w:w="1063"/>
          </w:tcPr>
          <w:p>
            <w:r>
              <w:t>0.9923</w:t>
            </w:r>
          </w:p>
        </w:tc>
        <w:tc>
          <w:tcPr>
            <w:tcW w:type="dxa" w:w="1063"/>
          </w:tcPr>
          <w:p>
            <w:r>
              <w:t>0.6739</w:t>
            </w:r>
          </w:p>
        </w:tc>
      </w:tr>
      <w:tr>
        <w:tc>
          <w:tcPr>
            <w:tcW w:type="dxa" w:w="1063"/>
          </w:tcPr>
          <w:p>
            <w:r>
              <w:t>120</w:t>
            </w:r>
          </w:p>
        </w:tc>
        <w:tc>
          <w:tcPr>
            <w:tcW w:type="dxa" w:w="1063"/>
          </w:tcPr>
          <w:p>
            <w:r>
              <w:t>46,796</w:t>
            </w:r>
          </w:p>
        </w:tc>
        <w:tc>
          <w:tcPr>
            <w:tcW w:type="dxa" w:w="1063"/>
          </w:tcPr>
          <w:p>
            <w:r>
              <w:t>0.596%</w:t>
            </w:r>
          </w:p>
        </w:tc>
        <w:tc>
          <w:tcPr>
            <w:tcW w:type="dxa" w:w="1063"/>
          </w:tcPr>
          <w:p>
            <w:r>
              <w:t>0.6103</w:t>
            </w:r>
          </w:p>
        </w:tc>
        <w:tc>
          <w:tcPr>
            <w:tcW w:type="dxa" w:w="1063"/>
          </w:tcPr>
          <w:p>
            <w:r>
              <w:t>0.7442</w:t>
            </w:r>
          </w:p>
        </w:tc>
        <w:tc>
          <w:tcPr>
            <w:tcW w:type="dxa" w:w="1063"/>
          </w:tcPr>
          <w:p>
            <w:r>
              <w:t>0.5172</w:t>
            </w:r>
          </w:p>
        </w:tc>
        <w:tc>
          <w:tcPr>
            <w:tcW w:type="dxa" w:w="1063"/>
          </w:tcPr>
          <w:p>
            <w:r>
              <w:t>0.9799</w:t>
            </w:r>
          </w:p>
        </w:tc>
        <w:tc>
          <w:tcPr>
            <w:tcW w:type="dxa" w:w="1063"/>
          </w:tcPr>
          <w:p>
            <w:r>
              <w:t>0.6136</w:t>
            </w:r>
          </w:p>
        </w:tc>
      </w:tr>
      <w:tr>
        <w:tc>
          <w:tcPr>
            <w:tcW w:type="dxa" w:w="1063"/>
          </w:tcPr>
          <w:p>
            <w:r>
              <w:t>240</w:t>
            </w:r>
          </w:p>
        </w:tc>
        <w:tc>
          <w:tcPr>
            <w:tcW w:type="dxa" w:w="1063"/>
          </w:tcPr>
          <w:p>
            <w:r>
              <w:t>69,036</w:t>
            </w:r>
          </w:p>
        </w:tc>
        <w:tc>
          <w:tcPr>
            <w:tcW w:type="dxa" w:w="1063"/>
          </w:tcPr>
          <w:p>
            <w:r>
              <w:t>0.879%</w:t>
            </w:r>
          </w:p>
        </w:tc>
        <w:tc>
          <w:tcPr>
            <w:tcW w:type="dxa" w:w="1063"/>
          </w:tcPr>
          <w:p>
            <w:r>
              <w:t>0.5024</w:t>
            </w:r>
          </w:p>
        </w:tc>
        <w:tc>
          <w:tcPr>
            <w:tcW w:type="dxa" w:w="1063"/>
          </w:tcPr>
          <w:p>
            <w:r>
              <w:t>0.7845</w:t>
            </w:r>
          </w:p>
        </w:tc>
        <w:tc>
          <w:tcPr>
            <w:tcW w:type="dxa" w:w="1063"/>
          </w:tcPr>
          <w:p>
            <w:r>
              <w:t>0.3695</w:t>
            </w:r>
          </w:p>
        </w:tc>
        <w:tc>
          <w:tcPr>
            <w:tcW w:type="dxa" w:w="1063"/>
          </w:tcPr>
          <w:p>
            <w:r>
              <w:t>0.9644</w:t>
            </w:r>
          </w:p>
        </w:tc>
        <w:tc>
          <w:tcPr>
            <w:tcW w:type="dxa" w:w="1063"/>
          </w:tcPr>
          <w:p>
            <w:r>
              <w:t>0.5223</w:t>
            </w:r>
          </w:p>
        </w:tc>
      </w:tr>
    </w:tbl>
    <w:p>
      <w:pPr>
        <w:jc w:val="center"/>
      </w:pPr>
      <w:r>
        <w:drawing>
          <wp:inline xmlns:a="http://schemas.openxmlformats.org/drawingml/2006/main" xmlns:pic="http://schemas.openxmlformats.org/drawingml/2006/picture">
            <wp:extent cx="5029200" cy="3017520"/>
            <wp:docPr id="14" name="Picture 14"/>
            <wp:cNvGraphicFramePr>
              <a:graphicFrameLocks noChangeAspect="1"/>
            </wp:cNvGraphicFramePr>
            <a:graphic>
              <a:graphicData uri="http://schemas.openxmlformats.org/drawingml/2006/picture">
                <pic:pic>
                  <pic:nvPicPr>
                    <pic:cNvPr id="0" name="horizon_degradation.png"/>
                    <pic:cNvPicPr/>
                  </pic:nvPicPr>
                  <pic:blipFill>
                    <a:blip r:embed="rId31"/>
                    <a:stretch>
                      <a:fillRect/>
                    </a:stretch>
                  </pic:blipFill>
                  <pic:spPr>
                    <a:xfrm>
                      <a:off x="0" y="0"/>
                      <a:ext cx="5029200" cy="3017520"/>
                    </a:xfrm>
                    <a:prstGeom prst="rect"/>
                  </pic:spPr>
                </pic:pic>
              </a:graphicData>
            </a:graphic>
          </wp:inline>
        </w:drawing>
      </w:r>
    </w:p>
    <w:p>
      <w:r>
        <w:rPr>
          <w:sz w:val="22"/>
        </w:rPr>
        <w:t>Observações principais: (1) ROC-AUC permanece acima de 0.96 em todos os horizontes, demonstrando que o ranking de risco é robusto à janela. (2) A precision sobe com o horizonte (0,70 → 0,78), indicando que alertas com score alto têm probabilidade ainda maior de Don't Go nos próximos 240 minutos. (3) O recall cai (0,65 → 0,37) — janelas longas captam menos positivos, mas com confiabilidade maior.</w:t>
      </w:r>
    </w:p>
    <w:p>
      <w:r>
        <w:rPr>
          <w:sz w:val="22"/>
        </w:rPr>
        <w:t>Aplicação operacional: alertas de alta confiança podem ser estratificados por horizonte. Probabilidade ≥0,93 com janela de 60 minutos motiva intervenção urgente; mesma probabilidade com janela de 240 minutos é apropriada para inspeção preventiva agendada.</w:t>
      </w:r>
    </w:p>
    <w:p>
      <w:pPr>
        <w:pStyle w:val="Ttulo2"/>
      </w:pPr>
      <w:r>
        <w:rPr>
          <w:color w:val="00A650"/>
        </w:rPr>
        <w:t>Calibração e Curvas de Threshold</w:t>
      </w:r>
    </w:p>
    <w:p>
      <w:r>
        <w:rPr>
          <w:sz w:val="22"/>
        </w:rPr>
        <w:t>Brier Score = 0.0203 (perfeitamente calibrado = 0). O modelo produz probabilidades regulares — adequadas para ranking de risco, mas não calibradas em termos absolutos devido ao uso de scale_pos_weight=40 para tratar desbalanceamento. Trabalho futuro: aplicar calibração isotônica para uso em precificação de manutenção e seguros.</w:t>
      </w:r>
    </w:p>
    <w:p>
      <w:pPr>
        <w:jc w:val="center"/>
      </w:pPr>
      <w:r>
        <w:drawing>
          <wp:inline xmlns:a="http://schemas.openxmlformats.org/drawingml/2006/main" xmlns:pic="http://schemas.openxmlformats.org/drawingml/2006/picture">
            <wp:extent cx="5486400" cy="2155371"/>
            <wp:docPr id="13" name="Picture 13"/>
            <wp:cNvGraphicFramePr>
              <a:graphicFrameLocks noChangeAspect="1"/>
            </wp:cNvGraphicFramePr>
            <a:graphic>
              <a:graphicData uri="http://schemas.openxmlformats.org/drawingml/2006/picture">
                <pic:pic>
                  <pic:nvPicPr>
                    <pic:cNvPr id="0" name="calibration_plot.png"/>
                    <pic:cNvPicPr/>
                  </pic:nvPicPr>
                  <pic:blipFill>
                    <a:blip r:embed="rId30"/>
                    <a:stretch>
                      <a:fillRect/>
                    </a:stretch>
                  </pic:blipFill>
                  <pic:spPr>
                    <a:xfrm>
                      <a:off x="0" y="0"/>
                      <a:ext cx="5486400" cy="2155371"/>
                    </a:xfrm>
                    <a:prstGeom prst="rect"/>
                  </pic:spPr>
                </pic:pic>
              </a:graphicData>
            </a:graphic>
          </wp:inline>
        </w:drawing>
      </w:r>
    </w:p>
    <w:p>
      <w:r>
        <w:rPr>
          <w:sz w:val="22"/>
        </w:rPr>
        <w:t>As curvas precision/recall/F1 vs threshold abaixo justificam matematicamente os dois thresholds operacionais escolhidos: F1-ótimo (0,93) e custo-ótimo (0,51).</w:t>
      </w:r>
    </w:p>
    <w:p>
      <w:pPr>
        <w:jc w:val="center"/>
      </w:pPr>
      <w:r>
        <w:drawing>
          <wp:inline xmlns:a="http://schemas.openxmlformats.org/drawingml/2006/main" xmlns:pic="http://schemas.openxmlformats.org/drawingml/2006/picture">
            <wp:extent cx="5029200" cy="3017520"/>
            <wp:docPr id="12" name="Picture 12"/>
            <wp:cNvGraphicFramePr>
              <a:graphicFrameLocks noChangeAspect="1"/>
            </wp:cNvGraphicFramePr>
            <a:graphic>
              <a:graphicData uri="http://schemas.openxmlformats.org/drawingml/2006/picture">
                <pic:pic>
                  <pic:nvPicPr>
                    <pic:cNvPr id="0" name="threshold_curves.png"/>
                    <pic:cNvPicPr/>
                  </pic:nvPicPr>
                  <pic:blipFill>
                    <a:blip r:embed="rId29"/>
                    <a:stretch>
                      <a:fillRect/>
                    </a:stretch>
                  </pic:blipFill>
                  <pic:spPr>
                    <a:xfrm>
                      <a:off x="0" y="0"/>
                      <a:ext cx="5029200" cy="3017520"/>
                    </a:xfrm>
                    <a:prstGeom prst="rect"/>
                  </pic:spPr>
                </pic:pic>
              </a:graphicData>
            </a:graphic>
          </wp:inline>
        </w:drawing>
      </w:r>
    </w:p>
    <w:p>
      <w:pPr>
        <w:pStyle w:val="Ttulo3"/>
      </w:pPr>
      <w:r>
        <w:rPr>
          <w:color w:val="00A650"/>
        </w:rPr>
        <w:t>Calibração Isotônica Pós-Treino</w:t>
      </w:r>
    </w:p>
    <w:p>
      <w:r>
        <w:rPr>
          <w:sz w:val="22"/>
        </w:rPr>
        <w:t>Como solução para a calibração sub-ótima do modelo bruto, aplicamos IsotonicRegression pós-treino — ajustada no conjunto de validação (Mai/2025) e avaliada no teste (Jun/2025). Os ganhos são substanciais:</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Métrica</w:t>
            </w:r>
          </w:p>
        </w:tc>
        <w:tc>
          <w:tcPr>
            <w:tcW w:type="dxa" w:w="2126"/>
          </w:tcPr>
          <w:p>
            <w:r>
              <w:rPr>
                <w:b/>
              </w:rPr>
              <w:t>Bruto</w:t>
            </w:r>
          </w:p>
        </w:tc>
        <w:tc>
          <w:tcPr>
            <w:tcW w:type="dxa" w:w="2126"/>
          </w:tcPr>
          <w:p>
            <w:r>
              <w:rPr>
                <w:b/>
              </w:rPr>
              <w:t>Isotônico</w:t>
            </w:r>
          </w:p>
        </w:tc>
        <w:tc>
          <w:tcPr>
            <w:tcW w:type="dxa" w:w="2126"/>
          </w:tcPr>
          <w:p>
            <w:r>
              <w:rPr>
                <w:b/>
              </w:rPr>
              <w:t>Δ %</w:t>
            </w:r>
          </w:p>
        </w:tc>
      </w:tr>
      <w:tr>
        <w:tc>
          <w:tcPr>
            <w:tcW w:type="dxa" w:w="2126"/>
          </w:tcPr>
          <w:p>
            <w:r>
              <w:t>Brier Score</w:t>
            </w:r>
          </w:p>
        </w:tc>
        <w:tc>
          <w:tcPr>
            <w:tcW w:type="dxa" w:w="2126"/>
          </w:tcPr>
          <w:p>
            <w:r>
              <w:t>0.02025</w:t>
            </w:r>
          </w:p>
        </w:tc>
        <w:tc>
          <w:tcPr>
            <w:tcW w:type="dxa" w:w="2126"/>
          </w:tcPr>
          <w:p>
            <w:r>
              <w:t>0.00221</w:t>
            </w:r>
          </w:p>
        </w:tc>
        <w:tc>
          <w:tcPr>
            <w:tcW w:type="dxa" w:w="2126"/>
          </w:tcPr>
          <w:p>
            <w:r>
              <w:t>+89.1%</w:t>
            </w:r>
          </w:p>
        </w:tc>
      </w:tr>
      <w:tr>
        <w:tc>
          <w:tcPr>
            <w:tcW w:type="dxa" w:w="2126"/>
          </w:tcPr>
          <w:p>
            <w:r>
              <w:t>LogLoss</w:t>
            </w:r>
          </w:p>
        </w:tc>
        <w:tc>
          <w:tcPr>
            <w:tcW w:type="dxa" w:w="2126"/>
          </w:tcPr>
          <w:p>
            <w:r>
              <w:t>0.07039</w:t>
            </w:r>
          </w:p>
        </w:tc>
        <w:tc>
          <w:tcPr>
            <w:tcW w:type="dxa" w:w="2126"/>
          </w:tcPr>
          <w:p>
            <w:r>
              <w:t>0.01168</w:t>
            </w:r>
          </w:p>
        </w:tc>
        <w:tc>
          <w:tcPr>
            <w:tcW w:type="dxa" w:w="2126"/>
          </w:tcPr>
          <w:p>
            <w:r>
              <w:t>—</w:t>
            </w:r>
          </w:p>
        </w:tc>
      </w:tr>
      <w:tr>
        <w:tc>
          <w:tcPr>
            <w:tcW w:type="dxa" w:w="2126"/>
          </w:tcPr>
          <w:p>
            <w:r>
              <w:t>ROC-AUC</w:t>
            </w:r>
          </w:p>
        </w:tc>
        <w:tc>
          <w:tcPr>
            <w:tcW w:type="dxa" w:w="2126"/>
          </w:tcPr>
          <w:p>
            <w:r>
              <w:t>0.9923</w:t>
            </w:r>
          </w:p>
        </w:tc>
        <w:tc>
          <w:tcPr>
            <w:tcW w:type="dxa" w:w="2126"/>
          </w:tcPr>
          <w:p>
            <w:r>
              <w:t>0.9917</w:t>
            </w:r>
          </w:p>
        </w:tc>
        <w:tc>
          <w:tcPr>
            <w:tcW w:type="dxa" w:w="2126"/>
          </w:tcPr>
          <w:p>
            <w:r>
              <w:t>−0,06%</w:t>
            </w:r>
          </w:p>
        </w:tc>
      </w:tr>
      <w:tr>
        <w:tc>
          <w:tcPr>
            <w:tcW w:type="dxa" w:w="2126"/>
          </w:tcPr>
          <w:p>
            <w:r>
              <w:t>PR-AUC</w:t>
            </w:r>
          </w:p>
        </w:tc>
        <w:tc>
          <w:tcPr>
            <w:tcW w:type="dxa" w:w="2126"/>
          </w:tcPr>
          <w:p>
            <w:r>
              <w:t>0.6739</w:t>
            </w:r>
          </w:p>
        </w:tc>
        <w:tc>
          <w:tcPr>
            <w:tcW w:type="dxa" w:w="2126"/>
          </w:tcPr>
          <w:p>
            <w:r>
              <w:t>0.6559</w:t>
            </w:r>
          </w:p>
        </w:tc>
        <w:tc>
          <w:tcPr>
            <w:tcW w:type="dxa" w:w="2126"/>
          </w:tcPr>
          <w:p>
            <w:r>
              <w:t>−2,7%</w:t>
            </w:r>
          </w:p>
        </w:tc>
      </w:tr>
    </w:tbl>
    <w:p>
      <w:r>
        <w:rPr>
          <w:sz w:val="22"/>
        </w:rPr>
        <w:t>O Brier Score caiu 89% sem perda relevante de ROC-AUC. O modelo calibrado passou a ser 2.0× melhor que a baseline trivial de prever a taxa base constante — possível agora usar probabilidades absolutas para precificação de manutenção, dimensionamento de capacidade e comunicação executiva ("este equipamento tem 70% de chance de Don't Go nos próximos 60min").</w:t>
      </w:r>
    </w:p>
    <w:p>
      <w:pPr>
        <w:jc w:val="center"/>
      </w:pPr>
      <w:r>
        <w:drawing>
          <wp:inline xmlns:a="http://schemas.openxmlformats.org/drawingml/2006/main" xmlns:pic="http://schemas.openxmlformats.org/drawingml/2006/picture">
            <wp:extent cx="5486400" cy="2351314"/>
            <wp:docPr id="11" name="Picture 11"/>
            <wp:cNvGraphicFramePr>
              <a:graphicFrameLocks noChangeAspect="1"/>
            </wp:cNvGraphicFramePr>
            <a:graphic>
              <a:graphicData uri="http://schemas.openxmlformats.org/drawingml/2006/picture">
                <pic:pic>
                  <pic:nvPicPr>
                    <pic:cNvPr id="0" name="isotonic_calibration.png"/>
                    <pic:cNvPicPr/>
                  </pic:nvPicPr>
                  <pic:blipFill>
                    <a:blip r:embed="rId28"/>
                    <a:stretch>
                      <a:fillRect/>
                    </a:stretch>
                  </pic:blipFill>
                  <pic:spPr>
                    <a:xfrm>
                      <a:off x="0" y="0"/>
                      <a:ext cx="5486400" cy="2351314"/>
                    </a:xfrm>
                    <a:prstGeom prst="rect"/>
                  </pic:spPr>
                </pic:pic>
              </a:graphicData>
            </a:graphic>
          </wp:inline>
        </w:drawing>
      </w:r>
    </w:p>
    <w:p>
      <w:pPr>
        <w:jc w:val="center"/>
      </w:pPr>
      <w:r>
        <w:drawing>
          <wp:inline xmlns:a="http://schemas.openxmlformats.org/drawingml/2006/main" xmlns:pic="http://schemas.openxmlformats.org/drawingml/2006/picture">
            <wp:extent cx="4114800" cy="3600450"/>
            <wp:docPr id="10" name="Picture 10"/>
            <wp:cNvGraphicFramePr>
              <a:graphicFrameLocks noChangeAspect="1"/>
            </wp:cNvGraphicFramePr>
            <a:graphic>
              <a:graphicData uri="http://schemas.openxmlformats.org/drawingml/2006/picture">
                <pic:pic>
                  <pic:nvPicPr>
                    <pic:cNvPr id="0" name="isotonic_mapping.png"/>
                    <pic:cNvPicPr/>
                  </pic:nvPicPr>
                  <pic:blipFill>
                    <a:blip r:embed="rId27"/>
                    <a:stretch>
                      <a:fillRect/>
                    </a:stretch>
                  </pic:blipFill>
                  <pic:spPr>
                    <a:xfrm>
                      <a:off x="0" y="0"/>
                      <a:ext cx="4114800" cy="3600450"/>
                    </a:xfrm>
                    <a:prstGeom prst="rect"/>
                  </pic:spPr>
                </pic:pic>
              </a:graphicData>
            </a:graphic>
          </wp:inline>
        </w:drawing>
      </w:r>
    </w:p>
    <w:p>
      <w:r>
        <w:rPr>
          <w:sz w:val="22"/>
        </w:rPr>
        <w:t>O calibrador é serializado em outputs/gold/isotonic_calibrator.pkl e aplicado como pós-processamento de 1 linha após a inferência do LightGBM principal — não requer retreinamento.</w:t>
      </w:r>
    </w:p>
    <w:p>
      <w:pPr>
        <w:pStyle w:val="Ttulo2"/>
      </w:pPr>
      <w:r>
        <w:rPr>
          <w:color w:val="00A650"/>
        </w:rPr>
        <w:t>Detecção Automática de Drift (operacionalização)</w:t>
      </w:r>
    </w:p>
    <w:p>
      <w:r>
        <w:rPr>
          <w:sz w:val="22"/>
        </w:rPr>
        <w:t>O experimento Sprint 5 demonstrou empiricamente que a distribuição dos dados varia substancialmente entre meses (variação de 600× na taxa DG da escavadeira). Em produção, isso exige um detector automático que dispare retreinamento quando o desempenho do modelo degradar. Implementamos dois detectores online clássicos avaliados sobre as séries mensais Jan-Jun/2025:</w:t>
      </w:r>
    </w:p>
    <w:p>
      <w:pPr>
        <w:pStyle w:val="Commarcadores"/>
      </w:pPr>
      <w:r>
        <w:rPr>
          <w:sz w:val="22"/>
        </w:rPr>
        <w:t>Page-Hinkley sobre a taxa observada de Don't Go (KPI primário, requer label).</w:t>
      </w:r>
    </w:p>
    <w:p>
      <w:pPr>
        <w:pStyle w:val="Commarcadores"/>
      </w:pPr>
      <w:r>
        <w:rPr>
          <w:sz w:val="22"/>
        </w:rPr>
        <w:t>Page-Hinkley sobre o score médio do LightGBM (proxy, disponível em tempo real).</w:t>
      </w:r>
    </w:p>
    <w:p>
      <w:pPr>
        <w:pStyle w:val="Commarcadores"/>
      </w:pPr>
      <w:r>
        <w:rPr>
          <w:sz w:val="22"/>
        </w:rPr>
        <w:t>Kolmogorov-Smirnov 2-sample entre distribuições de score de meses consecutivos (detecta mudança de forma, não só de média).</w:t>
      </w:r>
    </w:p>
    <w:p>
      <w:r>
        <w:rPr>
          <w:sz w:val="22"/>
        </w:rPr>
        <w:t>Resultado por frota — meses em que cada detector dispararia alerta: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Frota</w:t>
            </w:r>
          </w:p>
        </w:tc>
        <w:tc>
          <w:tcPr>
            <w:tcW w:type="dxa" w:w="2835"/>
          </w:tcPr>
          <w:p>
            <w:r>
              <w:rPr>
                <w:b/>
              </w:rPr>
              <w:t>Drift na Taxa DG (label)</w:t>
            </w:r>
          </w:p>
        </w:tc>
        <w:tc>
          <w:tcPr>
            <w:tcW w:type="dxa" w:w="2835"/>
          </w:tcPr>
          <w:p>
            <w:r>
              <w:rPr>
                <w:b/>
              </w:rPr>
              <w:t>Drift no Score Médio</w:t>
            </w:r>
          </w:p>
        </w:tc>
      </w:tr>
      <w:tr>
        <w:tc>
          <w:tcPr>
            <w:tcW w:type="dxa" w:w="2835"/>
          </w:tcPr>
          <w:p>
            <w:r>
              <w:t>793-D 2S</w:t>
            </w:r>
          </w:p>
        </w:tc>
        <w:tc>
          <w:tcPr>
            <w:tcW w:type="dxa" w:w="2835"/>
          </w:tcPr>
          <w:p>
            <w:r>
              <w:t>Fev, Mar, Abr, Mai</w:t>
            </w:r>
          </w:p>
        </w:tc>
        <w:tc>
          <w:tcPr>
            <w:tcW w:type="dxa" w:w="2835"/>
          </w:tcPr>
          <w:p>
            <w:r>
              <w:t>Fev, Mar, Abr, Mai, Jun</w:t>
            </w:r>
          </w:p>
        </w:tc>
      </w:tr>
      <w:tr>
        <w:tc>
          <w:tcPr>
            <w:tcW w:type="dxa" w:w="2835"/>
          </w:tcPr>
          <w:p>
            <w:r>
              <w:t>793-D 3S</w:t>
            </w:r>
          </w:p>
        </w:tc>
        <w:tc>
          <w:tcPr>
            <w:tcW w:type="dxa" w:w="2835"/>
          </w:tcPr>
          <w:p>
            <w:r>
              <w:t>—</w:t>
            </w:r>
          </w:p>
        </w:tc>
        <w:tc>
          <w:tcPr>
            <w:tcW w:type="dxa" w:w="2835"/>
          </w:tcPr>
          <w:p>
            <w:r>
              <w:t>Fev, Jun</w:t>
            </w:r>
          </w:p>
        </w:tc>
      </w:tr>
      <w:tr>
        <w:tc>
          <w:tcPr>
            <w:tcW w:type="dxa" w:w="2835"/>
          </w:tcPr>
          <w:p>
            <w:r>
              <w:t>793-D 4S</w:t>
            </w:r>
          </w:p>
        </w:tc>
        <w:tc>
          <w:tcPr>
            <w:tcW w:type="dxa" w:w="2835"/>
          </w:tcPr>
          <w:p>
            <w:r>
              <w:t>—</w:t>
            </w:r>
          </w:p>
        </w:tc>
        <w:tc>
          <w:tcPr>
            <w:tcW w:type="dxa" w:w="2835"/>
          </w:tcPr>
          <w:p>
            <w:r>
              <w:t>—</w:t>
            </w:r>
          </w:p>
        </w:tc>
      </w:tr>
      <w:tr>
        <w:tc>
          <w:tcPr>
            <w:tcW w:type="dxa" w:w="2835"/>
          </w:tcPr>
          <w:p>
            <w:r>
              <w:t>793-D 5S</w:t>
            </w:r>
          </w:p>
        </w:tc>
        <w:tc>
          <w:tcPr>
            <w:tcW w:type="dxa" w:w="2835"/>
          </w:tcPr>
          <w:p>
            <w:r>
              <w:t>Fev, Mar</w:t>
            </w:r>
          </w:p>
        </w:tc>
        <w:tc>
          <w:tcPr>
            <w:tcW w:type="dxa" w:w="2835"/>
          </w:tcPr>
          <w:p>
            <w:r>
              <w:t>—</w:t>
            </w:r>
          </w:p>
        </w:tc>
      </w:tr>
      <w:tr>
        <w:tc>
          <w:tcPr>
            <w:tcW w:type="dxa" w:w="2835"/>
          </w:tcPr>
          <w:p>
            <w:r>
              <w:t>LeTourneau L 1850</w:t>
            </w:r>
          </w:p>
        </w:tc>
        <w:tc>
          <w:tcPr>
            <w:tcW w:type="dxa" w:w="2835"/>
          </w:tcPr>
          <w:p>
            <w:r>
              <w:t>—</w:t>
            </w:r>
          </w:p>
        </w:tc>
        <w:tc>
          <w:tcPr>
            <w:tcW w:type="dxa" w:w="2835"/>
          </w:tcPr>
          <w:p>
            <w:r>
              <w:t>—</w:t>
            </w:r>
          </w:p>
        </w:tc>
      </w:tr>
    </w:tbl>
    <w:p>
      <w:pPr>
        <w:jc w:val="center"/>
      </w:pPr>
      <w:r>
        <w:drawing>
          <wp:inline xmlns:a="http://schemas.openxmlformats.org/drawingml/2006/main" xmlns:pic="http://schemas.openxmlformats.org/drawingml/2006/picture">
            <wp:extent cx="5943600" cy="6368143"/>
            <wp:docPr id="9" name="Picture 9"/>
            <wp:cNvGraphicFramePr>
              <a:graphicFrameLocks noChangeAspect="1"/>
            </wp:cNvGraphicFramePr>
            <a:graphic>
              <a:graphicData uri="http://schemas.openxmlformats.org/drawingml/2006/picture">
                <pic:pic>
                  <pic:nvPicPr>
                    <pic:cNvPr id="0" name="drift_detection_by_fleet.png"/>
                    <pic:cNvPicPr/>
                  </pic:nvPicPr>
                  <pic:blipFill>
                    <a:blip r:embed="rId26"/>
                    <a:stretch>
                      <a:fillRect/>
                    </a:stretch>
                  </pic:blipFill>
                  <pic:spPr>
                    <a:xfrm>
                      <a:off x="0" y="0"/>
                      <a:ext cx="5943600" cy="6368143"/>
                    </a:xfrm>
                    <a:prstGeom prst="rect"/>
                  </pic:spPr>
                </pic:pic>
              </a:graphicData>
            </a:graphic>
          </wp:inline>
        </w:drawing>
      </w:r>
    </w:p>
    <w:p>
      <w:pPr>
        <w:jc w:val="center"/>
      </w:pPr>
      <w:r>
        <w:drawing>
          <wp:inline xmlns:a="http://schemas.openxmlformats.org/drawingml/2006/main" xmlns:pic="http://schemas.openxmlformats.org/drawingml/2006/picture">
            <wp:extent cx="5486400" cy="2493818"/>
            <wp:docPr id="8" name="Picture 8"/>
            <wp:cNvGraphicFramePr>
              <a:graphicFrameLocks noChangeAspect="1"/>
            </wp:cNvGraphicFramePr>
            <a:graphic>
              <a:graphicData uri="http://schemas.openxmlformats.org/drawingml/2006/picture">
                <pic:pic>
                  <pic:nvPicPr>
                    <pic:cNvPr id="0" name="drift_ks_heatmap.png"/>
                    <pic:cNvPicPr/>
                  </pic:nvPicPr>
                  <pic:blipFill>
                    <a:blip r:embed="rId25"/>
                    <a:stretch>
                      <a:fillRect/>
                    </a:stretch>
                  </pic:blipFill>
                  <pic:spPr>
                    <a:xfrm>
                      <a:off x="0" y="0"/>
                      <a:ext cx="5486400" cy="2493818"/>
                    </a:xfrm>
                    <a:prstGeom prst="rect"/>
                  </pic:spPr>
                </pic:pic>
              </a:graphicData>
            </a:graphic>
          </wp:inline>
        </w:drawing>
      </w:r>
    </w:p>
    <w:p>
      <w:r>
        <w:rPr>
          <w:sz w:val="22"/>
        </w:rPr>
        <w:t>Achados operacionais: (1) 793-D 2S mostra alta volatilidade — detector dispara em quase todos os meses; frota com perfil operacional instável que requer monitoramento dedicado. (2) 793-D 4S é estável — sem drift detectado. (3) Em 793-D 3S o detector pega drift no score antes da taxa — modelo "sente" mudanças antes de materializarem em label, evidência de valor preditivo.</w:t>
      </w:r>
    </w:p>
    <w:p>
      <w:r>
        <w:rPr>
          <w:sz w:val="22"/>
        </w:rPr>
        <w:t>Achado metodológico: o Page-Hinkley com threshold absoluto subestima drift em classes raras. A escavadeira teve variação de 600× na taxa, mas em valores absolutos a variação é menor que λ=0,02. A solução é threshold relativo por frota — λ_fleet = max(0,005, base_rate × 5) — implementação simples que torna o sistema sensível a classes minoritárias. O Kolmogorov-Smirnov com threshold 0,3 (revisar) e 0,5 (re-treinar) já capturaria todas as transições problemáticas no heatmap.</w:t>
      </w:r>
    </w:p>
    <w:p>
      <w:pPr>
        <w:pStyle w:val="Ttulo2"/>
      </w:pPr>
      <w:r>
        <w:rPr>
          <w:color w:val="00A650"/>
        </w:rPr>
        <w:t>Política de Decisão por Frota (otimização operacional)</w:t>
      </w:r>
    </w:p>
    <w:p>
      <w:r>
        <w:rPr>
          <w:sz w:val="22"/>
        </w:rPr>
        <w:t>A análise de custo do Sprint 2 estabeleceu um threshold global custo-ótimo de 0,51. Contudo, a segmentação por frota revelou base rates e separabilidades muito heterogêneas (PR-AUC de 0,87 em 793-D 4S até 0,01 em LeTourneau). Um único ponto de corte é, portanto, subótimo. Calibramos um threshold custo-ótimo independente por frota sobre a validação (Mai/2025) e o aplicamos ao teste (Jun/2025), produzindo uma tabela de decisão operacional diretamente deployável:</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Frota</w:t>
            </w:r>
          </w:p>
        </w:tc>
        <w:tc>
          <w:tcPr>
            <w:tcW w:type="dxa" w:w="1063"/>
          </w:tcPr>
          <w:p>
            <w:r>
              <w:rPr>
                <w:b/>
              </w:rPr>
              <w:t>Threshold</w:t>
            </w:r>
          </w:p>
        </w:tc>
        <w:tc>
          <w:tcPr>
            <w:tcW w:type="dxa" w:w="1063"/>
          </w:tcPr>
          <w:p>
            <w:r>
              <w:rPr>
                <w:b/>
              </w:rPr>
              <w:t>TP</w:t>
            </w:r>
          </w:p>
        </w:tc>
        <w:tc>
          <w:tcPr>
            <w:tcW w:type="dxa" w:w="1063"/>
          </w:tcPr>
          <w:p>
            <w:r>
              <w:rPr>
                <w:b/>
              </w:rPr>
              <w:t>FP</w:t>
            </w:r>
          </w:p>
        </w:tc>
        <w:tc>
          <w:tcPr>
            <w:tcW w:type="dxa" w:w="1063"/>
          </w:tcPr>
          <w:p>
            <w:r>
              <w:rPr>
                <w:b/>
              </w:rPr>
              <w:t>FN</w:t>
            </w:r>
          </w:p>
        </w:tc>
        <w:tc>
          <w:tcPr>
            <w:tcW w:type="dxa" w:w="1063"/>
          </w:tcPr>
          <w:p>
            <w:r>
              <w:rPr>
                <w:b/>
              </w:rPr>
              <w:t>F1</w:t>
            </w:r>
          </w:p>
        </w:tc>
        <w:tc>
          <w:tcPr>
            <w:tcW w:type="dxa" w:w="1063"/>
          </w:tcPr>
          <w:p>
            <w:r>
              <w:rPr>
                <w:b/>
              </w:rPr>
              <w:t>Recall</w:t>
            </w:r>
          </w:p>
        </w:tc>
        <w:tc>
          <w:tcPr>
            <w:tcW w:type="dxa" w:w="1063"/>
          </w:tcPr>
          <w:p>
            <w:r>
              <w:rPr>
                <w:b/>
              </w:rPr>
              <w:t>Custo (R$ M)</w:t>
            </w:r>
          </w:p>
        </w:tc>
      </w:tr>
      <w:tr>
        <w:tc>
          <w:tcPr>
            <w:tcW w:type="dxa" w:w="1063"/>
          </w:tcPr>
          <w:p>
            <w:r>
              <w:t>793-D 2S</w:t>
            </w:r>
          </w:p>
        </w:tc>
        <w:tc>
          <w:tcPr>
            <w:tcW w:type="dxa" w:w="1063"/>
          </w:tcPr>
          <w:p>
            <w:r>
              <w:t>0.73</w:t>
            </w:r>
          </w:p>
        </w:tc>
        <w:tc>
          <w:tcPr>
            <w:tcW w:type="dxa" w:w="1063"/>
          </w:tcPr>
          <w:p>
            <w:r>
              <w:t>559</w:t>
            </w:r>
          </w:p>
        </w:tc>
        <w:tc>
          <w:tcPr>
            <w:tcW w:type="dxa" w:w="1063"/>
          </w:tcPr>
          <w:p>
            <w:r>
              <w:t>18.241</w:t>
            </w:r>
          </w:p>
        </w:tc>
        <w:tc>
          <w:tcPr>
            <w:tcW w:type="dxa" w:w="1063"/>
          </w:tcPr>
          <w:p>
            <w:r>
              <w:t>289</w:t>
            </w:r>
          </w:p>
        </w:tc>
        <w:tc>
          <w:tcPr>
            <w:tcW w:type="dxa" w:w="1063"/>
          </w:tcPr>
          <w:p>
            <w:r>
              <w:t>0,057</w:t>
            </w:r>
          </w:p>
        </w:tc>
        <w:tc>
          <w:tcPr>
            <w:tcW w:type="dxa" w:w="1063"/>
          </w:tcPr>
          <w:p>
            <w:r>
              <w:t>0,66</w:t>
            </w:r>
          </w:p>
        </w:tc>
        <w:tc>
          <w:tcPr>
            <w:tcW w:type="dxa" w:w="1063"/>
          </w:tcPr>
          <w:p>
            <w:r>
              <w:t>29,0</w:t>
            </w:r>
          </w:p>
        </w:tc>
      </w:tr>
      <w:tr>
        <w:tc>
          <w:tcPr>
            <w:tcW w:type="dxa" w:w="1063"/>
          </w:tcPr>
          <w:p>
            <w:r>
              <w:t>793-D 3S</w:t>
            </w:r>
          </w:p>
        </w:tc>
        <w:tc>
          <w:tcPr>
            <w:tcW w:type="dxa" w:w="1063"/>
          </w:tcPr>
          <w:p>
            <w:r>
              <w:t>0.32</w:t>
            </w:r>
          </w:p>
        </w:tc>
        <w:tc>
          <w:tcPr>
            <w:tcW w:type="dxa" w:w="1063"/>
          </w:tcPr>
          <w:p>
            <w:r>
              <w:t>1.961</w:t>
            </w:r>
          </w:p>
        </w:tc>
        <w:tc>
          <w:tcPr>
            <w:tcW w:type="dxa" w:w="1063"/>
          </w:tcPr>
          <w:p>
            <w:r>
              <w:t>15.330</w:t>
            </w:r>
          </w:p>
        </w:tc>
        <w:tc>
          <w:tcPr>
            <w:tcW w:type="dxa" w:w="1063"/>
          </w:tcPr>
          <w:p>
            <w:r>
              <w:t>218</w:t>
            </w:r>
          </w:p>
        </w:tc>
        <w:tc>
          <w:tcPr>
            <w:tcW w:type="dxa" w:w="1063"/>
          </w:tcPr>
          <w:p>
            <w:r>
              <w:t>0,201</w:t>
            </w:r>
          </w:p>
        </w:tc>
        <w:tc>
          <w:tcPr>
            <w:tcW w:type="dxa" w:w="1063"/>
          </w:tcPr>
          <w:p>
            <w:r>
              <w:t>0,90</w:t>
            </w:r>
          </w:p>
        </w:tc>
        <w:tc>
          <w:tcPr>
            <w:tcW w:type="dxa" w:w="1063"/>
          </w:tcPr>
          <w:p>
            <w:r>
              <w:t>23,2</w:t>
            </w:r>
          </w:p>
        </w:tc>
      </w:tr>
      <w:tr>
        <w:tc>
          <w:tcPr>
            <w:tcW w:type="dxa" w:w="1063"/>
          </w:tcPr>
          <w:p>
            <w:r>
              <w:t>793-D 4S</w:t>
            </w:r>
          </w:p>
        </w:tc>
        <w:tc>
          <w:tcPr>
            <w:tcW w:type="dxa" w:w="1063"/>
          </w:tcPr>
          <w:p>
            <w:r>
              <w:t>0.73</w:t>
            </w:r>
          </w:p>
        </w:tc>
        <w:tc>
          <w:tcPr>
            <w:tcW w:type="dxa" w:w="1063"/>
          </w:tcPr>
          <w:p>
            <w:r>
              <w:t>13.782</w:t>
            </w:r>
          </w:p>
        </w:tc>
        <w:tc>
          <w:tcPr>
            <w:tcW w:type="dxa" w:w="1063"/>
          </w:tcPr>
          <w:p>
            <w:r>
              <w:t>25.349</w:t>
            </w:r>
          </w:p>
        </w:tc>
        <w:tc>
          <w:tcPr>
            <w:tcW w:type="dxa" w:w="1063"/>
          </w:tcPr>
          <w:p>
            <w:r>
              <w:t>1.157</w:t>
            </w:r>
          </w:p>
        </w:tc>
        <w:tc>
          <w:tcPr>
            <w:tcW w:type="dxa" w:w="1063"/>
          </w:tcPr>
          <w:p>
            <w:r>
              <w:t>0,510</w:t>
            </w:r>
          </w:p>
        </w:tc>
        <w:tc>
          <w:tcPr>
            <w:tcW w:type="dxa" w:w="1063"/>
          </w:tcPr>
          <w:p>
            <w:r>
              <w:t>0,92</w:t>
            </w:r>
          </w:p>
        </w:tc>
        <w:tc>
          <w:tcPr>
            <w:tcW w:type="dxa" w:w="1063"/>
          </w:tcPr>
          <w:p>
            <w:r>
              <w:t>78,1</w:t>
            </w:r>
          </w:p>
        </w:tc>
      </w:tr>
      <w:tr>
        <w:tc>
          <w:tcPr>
            <w:tcW w:type="dxa" w:w="1063"/>
          </w:tcPr>
          <w:p>
            <w:r>
              <w:t>793-D 5S</w:t>
            </w:r>
          </w:p>
        </w:tc>
        <w:tc>
          <w:tcPr>
            <w:tcW w:type="dxa" w:w="1063"/>
          </w:tcPr>
          <w:p>
            <w:r>
              <w:t>0.59</w:t>
            </w:r>
          </w:p>
        </w:tc>
        <w:tc>
          <w:tcPr>
            <w:tcW w:type="dxa" w:w="1063"/>
          </w:tcPr>
          <w:p>
            <w:r>
              <w:t>14.937</w:t>
            </w:r>
          </w:p>
        </w:tc>
        <w:tc>
          <w:tcPr>
            <w:tcW w:type="dxa" w:w="1063"/>
          </w:tcPr>
          <w:p>
            <w:r>
              <w:t>116.000</w:t>
            </w:r>
          </w:p>
        </w:tc>
        <w:tc>
          <w:tcPr>
            <w:tcW w:type="dxa" w:w="1063"/>
          </w:tcPr>
          <w:p>
            <w:r>
              <w:t>2.138</w:t>
            </w:r>
          </w:p>
        </w:tc>
        <w:tc>
          <w:tcPr>
            <w:tcW w:type="dxa" w:w="1063"/>
          </w:tcPr>
          <w:p>
            <w:r>
              <w:t>0,202</w:t>
            </w:r>
          </w:p>
        </w:tc>
        <w:tc>
          <w:tcPr>
            <w:tcW w:type="dxa" w:w="1063"/>
          </w:tcPr>
          <w:p>
            <w:r>
              <w:t>0,87</w:t>
            </w:r>
          </w:p>
        </w:tc>
        <w:tc>
          <w:tcPr>
            <w:tcW w:type="dxa" w:w="1063"/>
          </w:tcPr>
          <w:p>
            <w:r>
              <w:t>199,7</w:t>
            </w:r>
          </w:p>
        </w:tc>
      </w:tr>
      <w:tr>
        <w:tc>
          <w:tcPr>
            <w:tcW w:type="dxa" w:w="1063"/>
          </w:tcPr>
          <w:p>
            <w:r>
              <w:t>LeTourneau L 1850</w:t>
            </w:r>
          </w:p>
        </w:tc>
        <w:tc>
          <w:tcPr>
            <w:tcW w:type="dxa" w:w="1063"/>
          </w:tcPr>
          <w:p>
            <w:r>
              <w:t>0.51</w:t>
            </w:r>
          </w:p>
        </w:tc>
        <w:tc>
          <w:tcPr>
            <w:tcW w:type="dxa" w:w="1063"/>
          </w:tcPr>
          <w:p>
            <w:r>
              <w:t>22</w:t>
            </w:r>
          </w:p>
        </w:tc>
        <w:tc>
          <w:tcPr>
            <w:tcW w:type="dxa" w:w="1063"/>
          </w:tcPr>
          <w:p>
            <w:r>
              <w:t>2.683</w:t>
            </w:r>
          </w:p>
        </w:tc>
        <w:tc>
          <w:tcPr>
            <w:tcW w:type="dxa" w:w="1063"/>
          </w:tcPr>
          <w:p>
            <w:r>
              <w:t>140</w:t>
            </w:r>
          </w:p>
        </w:tc>
        <w:tc>
          <w:tcPr>
            <w:tcW w:type="dxa" w:w="1063"/>
          </w:tcPr>
          <w:p>
            <w:r>
              <w:t>0,015</w:t>
            </w:r>
          </w:p>
        </w:tc>
        <w:tc>
          <w:tcPr>
            <w:tcW w:type="dxa" w:w="1063"/>
          </w:tcPr>
          <w:p>
            <w:r>
              <w:t>0,14</w:t>
            </w:r>
          </w:p>
        </w:tc>
        <w:tc>
          <w:tcPr>
            <w:tcW w:type="dxa" w:w="1063"/>
          </w:tcPr>
          <w:p>
            <w:r>
              <w:t>9,1</w:t>
            </w:r>
          </w:p>
        </w:tc>
      </w:tr>
    </w:tbl>
    <w:p>
      <w:pPr>
        <w:jc w:val="center"/>
      </w:pPr>
      <w:r>
        <w:drawing>
          <wp:inline xmlns:a="http://schemas.openxmlformats.org/drawingml/2006/main" xmlns:pic="http://schemas.openxmlformats.org/drawingml/2006/picture">
            <wp:extent cx="5486400" cy="3291840"/>
            <wp:docPr id="7" name="Picture 7"/>
            <wp:cNvGraphicFramePr>
              <a:graphicFrameLocks noChangeAspect="1"/>
            </wp:cNvGraphicFramePr>
            <a:graphic>
              <a:graphicData uri="http://schemas.openxmlformats.org/drawingml/2006/picture">
                <pic:pic>
                  <pic:nvPicPr>
                    <pic:cNvPr id="0" name="fleet_threshold_policy.png"/>
                    <pic:cNvPicPr/>
                  </pic:nvPicPr>
                  <pic:blipFill>
                    <a:blip r:embed="rId24"/>
                    <a:stretch>
                      <a:fillRect/>
                    </a:stretch>
                  </pic:blipFill>
                  <pic:spPr>
                    <a:xfrm>
                      <a:off x="0" y="0"/>
                      <a:ext cx="5486400" cy="3291840"/>
                    </a:xfrm>
                    <a:prstGeom prst="rect"/>
                  </pic:spPr>
                </pic:pic>
              </a:graphicData>
            </a:graphic>
          </wp:inline>
        </w:drawing>
      </w:r>
    </w:p>
    <w:p>
      <w:r>
        <w:rPr>
          <w:sz w:val="22"/>
        </w:rPr>
        <w:t>A política por frota reduz o custo operacional total de R$343,3M (threshold único) para R$339,2M — economia adicional de R$4,2M (+1,2%) sobre o ganho já demonstrado no Sprint 2. Mais relevante que o ganho de custo: o F1 agregado sobe de 0,219 para 0,256 (+17% relativo), porque thresholds mais altos nas frotas 793-D 5S e 2S suprimem milhares de falsos positivos sem sacrificar recall.</w:t>
      </w:r>
    </w:p>
    <w:p>
      <w:pPr>
        <w:jc w:val="center"/>
      </w:pPr>
      <w:r>
        <w:drawing>
          <wp:inline xmlns:a="http://schemas.openxmlformats.org/drawingml/2006/main" xmlns:pic="http://schemas.openxmlformats.org/drawingml/2006/picture">
            <wp:extent cx="5943600" cy="3241964"/>
            <wp:docPr id="6" name="Picture 6"/>
            <wp:cNvGraphicFramePr>
              <a:graphicFrameLocks noChangeAspect="1"/>
            </wp:cNvGraphicFramePr>
            <a:graphic>
              <a:graphicData uri="http://schemas.openxmlformats.org/drawingml/2006/picture">
                <pic:pic>
                  <pic:nvPicPr>
                    <pic:cNvPr id="0" name="fleet_threshold_cost_comparison.png"/>
                    <pic:cNvPicPr/>
                  </pic:nvPicPr>
                  <pic:blipFill>
                    <a:blip r:embed="rId23"/>
                    <a:stretch>
                      <a:fillRect/>
                    </a:stretch>
                  </pic:blipFill>
                  <pic:spPr>
                    <a:xfrm>
                      <a:off x="0" y="0"/>
                      <a:ext cx="5943600" cy="3241964"/>
                    </a:xfrm>
                    <a:prstGeom prst="rect"/>
                  </pic:spPr>
                </pic:pic>
              </a:graphicData>
            </a:graphic>
          </wp:inline>
        </w:drawing>
      </w:r>
    </w:p>
    <w:p>
      <w:r>
        <w:rPr>
          <w:sz w:val="22"/>
        </w:rPr>
        <w:t>Achado operacional: as frotas 793-D 4S e 2S exigem thresholds altos (0,73) — o modelo é confiante e específico nelas; já a 793-D 3S opera melhor com threshold baixo (0,32), priorizando recall. A LeTourneau permanece refratária a qualquer threshold (Recall=0,14), confirmando o achado do Sprint 5 de que o problema da escavadeira é de feature engineering, não de ponto de corte. Esta tabela de decisão pode ser carregada diretamente no motor de inferência em produção, sem retreinamento do modelo.</w:t>
      </w:r>
    </w:p>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Caso Aprofundado — Cronologia de Degradação do CA65926</w:t>
      </w:r>
    </w:p>
    <w:p>
      <w:r>
        <w:rPr>
          <w:sz w:val="22"/>
        </w:rPr>
        <w:t>O equipamento CA65926 (793-D 4S) merece análise dedicada por ser o outlier extremo da frota e por sua cronologia revelar um padrão de degradação estrutural. A tabela abaixo recorta a taxa mensal de Don't Go do equipamento contra a média dos demais caminhões 793-D 4S do mesmo período:</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Mês</w:t>
            </w:r>
          </w:p>
        </w:tc>
        <w:tc>
          <w:tcPr>
            <w:tcW w:type="dxa" w:w="2126"/>
          </w:tcPr>
          <w:p>
            <w:r>
              <w:rPr>
                <w:b/>
              </w:rPr>
              <w:t>Taxa CA65926</w:t>
            </w:r>
          </w:p>
        </w:tc>
        <w:tc>
          <w:tcPr>
            <w:tcW w:type="dxa" w:w="2126"/>
          </w:tcPr>
          <w:p>
            <w:r>
              <w:rPr>
                <w:b/>
              </w:rPr>
              <w:t>Média 793-D 4S</w:t>
            </w:r>
          </w:p>
        </w:tc>
        <w:tc>
          <w:tcPr>
            <w:tcW w:type="dxa" w:w="2126"/>
          </w:tcPr>
          <w:p>
            <w:r>
              <w:rPr>
                <w:b/>
              </w:rPr>
              <w:t>Razão</w:t>
            </w:r>
          </w:p>
        </w:tc>
      </w:tr>
      <w:tr>
        <w:tc>
          <w:tcPr>
            <w:tcW w:type="dxa" w:w="2126"/>
          </w:tcPr>
          <w:p>
            <w:r>
              <w:t>JAN</w:t>
            </w:r>
          </w:p>
        </w:tc>
        <w:tc>
          <w:tcPr>
            <w:tcW w:type="dxa" w:w="2126"/>
          </w:tcPr>
          <w:p>
            <w:r>
              <w:t>0.216%</w:t>
            </w:r>
          </w:p>
        </w:tc>
        <w:tc>
          <w:tcPr>
            <w:tcW w:type="dxa" w:w="2126"/>
          </w:tcPr>
          <w:p>
            <w:r>
              <w:t>0.592%</w:t>
            </w:r>
          </w:p>
        </w:tc>
        <w:tc>
          <w:tcPr>
            <w:tcW w:type="dxa" w:w="2126"/>
          </w:tcPr>
          <w:p>
            <w:r>
              <w:t>0.4×</w:t>
            </w:r>
          </w:p>
        </w:tc>
      </w:tr>
      <w:tr>
        <w:tc>
          <w:tcPr>
            <w:tcW w:type="dxa" w:w="2126"/>
          </w:tcPr>
          <w:p>
            <w:r>
              <w:t>FEB</w:t>
            </w:r>
          </w:p>
        </w:tc>
        <w:tc>
          <w:tcPr>
            <w:tcW w:type="dxa" w:w="2126"/>
          </w:tcPr>
          <w:p>
            <w:r>
              <w:t>0.385%</w:t>
            </w:r>
          </w:p>
        </w:tc>
        <w:tc>
          <w:tcPr>
            <w:tcW w:type="dxa" w:w="2126"/>
          </w:tcPr>
          <w:p>
            <w:r>
              <w:t>0.617%</w:t>
            </w:r>
          </w:p>
        </w:tc>
        <w:tc>
          <w:tcPr>
            <w:tcW w:type="dxa" w:w="2126"/>
          </w:tcPr>
          <w:p>
            <w:r>
              <w:t>0.6×</w:t>
            </w:r>
          </w:p>
        </w:tc>
      </w:tr>
      <w:tr>
        <w:tc>
          <w:tcPr>
            <w:tcW w:type="dxa" w:w="2126"/>
          </w:tcPr>
          <w:p>
            <w:r>
              <w:t>MAR</w:t>
            </w:r>
          </w:p>
        </w:tc>
        <w:tc>
          <w:tcPr>
            <w:tcW w:type="dxa" w:w="2126"/>
          </w:tcPr>
          <w:p>
            <w:r>
              <w:t>2.519%</w:t>
            </w:r>
          </w:p>
        </w:tc>
        <w:tc>
          <w:tcPr>
            <w:tcW w:type="dxa" w:w="2126"/>
          </w:tcPr>
          <w:p>
            <w:r>
              <w:t>0.297%</w:t>
            </w:r>
          </w:p>
        </w:tc>
        <w:tc>
          <w:tcPr>
            <w:tcW w:type="dxa" w:w="2126"/>
          </w:tcPr>
          <w:p>
            <w:r>
              <w:t>8.5×</w:t>
            </w:r>
          </w:p>
        </w:tc>
      </w:tr>
      <w:tr>
        <w:tc>
          <w:tcPr>
            <w:tcW w:type="dxa" w:w="2126"/>
          </w:tcPr>
          <w:p>
            <w:r>
              <w:t>ABR</w:t>
            </w:r>
          </w:p>
        </w:tc>
        <w:tc>
          <w:tcPr>
            <w:tcW w:type="dxa" w:w="2126"/>
          </w:tcPr>
          <w:p>
            <w:r>
              <w:t>0.259%</w:t>
            </w:r>
          </w:p>
        </w:tc>
        <w:tc>
          <w:tcPr>
            <w:tcW w:type="dxa" w:w="2126"/>
          </w:tcPr>
          <w:p>
            <w:r>
              <w:t>0.113%</w:t>
            </w:r>
          </w:p>
        </w:tc>
        <w:tc>
          <w:tcPr>
            <w:tcW w:type="dxa" w:w="2126"/>
          </w:tcPr>
          <w:p>
            <w:r>
              <w:t>2.3×</w:t>
            </w:r>
          </w:p>
        </w:tc>
      </w:tr>
      <w:tr>
        <w:tc>
          <w:tcPr>
            <w:tcW w:type="dxa" w:w="2126"/>
          </w:tcPr>
          <w:p>
            <w:r>
              <w:t>MAY</w:t>
            </w:r>
          </w:p>
        </w:tc>
        <w:tc>
          <w:tcPr>
            <w:tcW w:type="dxa" w:w="2126"/>
          </w:tcPr>
          <w:p>
            <w:r>
              <w:t>0.413%</w:t>
            </w:r>
          </w:p>
        </w:tc>
        <w:tc>
          <w:tcPr>
            <w:tcW w:type="dxa" w:w="2126"/>
          </w:tcPr>
          <w:p>
            <w:r>
              <w:t>0.146%</w:t>
            </w:r>
          </w:p>
        </w:tc>
        <w:tc>
          <w:tcPr>
            <w:tcW w:type="dxa" w:w="2126"/>
          </w:tcPr>
          <w:p>
            <w:r>
              <w:t>2.8×</w:t>
            </w:r>
          </w:p>
        </w:tc>
      </w:tr>
      <w:tr>
        <w:tc>
          <w:tcPr>
            <w:tcW w:type="dxa" w:w="2126"/>
          </w:tcPr>
          <w:p>
            <w:r>
              <w:t>JUN</w:t>
            </w:r>
          </w:p>
        </w:tc>
        <w:tc>
          <w:tcPr>
            <w:tcW w:type="dxa" w:w="2126"/>
          </w:tcPr>
          <w:p>
            <w:r>
              <w:t>21.576%</w:t>
            </w:r>
          </w:p>
        </w:tc>
        <w:tc>
          <w:tcPr>
            <w:tcW w:type="dxa" w:w="2126"/>
          </w:tcPr>
          <w:p>
            <w:r>
              <w:t>0.105%</w:t>
            </w:r>
          </w:p>
        </w:tc>
        <w:tc>
          <w:tcPr>
            <w:tcW w:type="dxa" w:w="2126"/>
          </w:tcPr>
          <w:p>
            <w:r>
              <w:t>205.1×</w:t>
            </w:r>
          </w:p>
        </w:tc>
      </w:tr>
    </w:tbl>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ca65926_vs_frota.png"/>
                    <pic:cNvPicPr/>
                  </pic:nvPicPr>
                  <pic:blipFill>
                    <a:blip r:embed="rId22"/>
                    <a:stretch>
                      <a:fillRect/>
                    </a:stretch>
                  </pic:blipFill>
                  <pic:spPr>
                    <a:xfrm>
                      <a:off x="0" y="0"/>
                      <a:ext cx="5029200" cy="2514600"/>
                    </a:xfrm>
                    <a:prstGeom prst="rect"/>
                  </pic:spPr>
                </pic:pic>
              </a:graphicData>
            </a:graphic>
          </wp:inline>
        </w:drawing>
      </w:r>
    </w:p>
    <w:p>
      <w:r>
        <w:rPr>
          <w:sz w:val="22"/>
        </w:rPr>
        <w:t>Três achados de alto valor operacional emergem desta análise:</w:t>
      </w:r>
    </w:p>
    <w:p>
      <w:pPr>
        <w:pStyle w:val="Commarcadores"/>
      </w:pPr>
      <w:r>
        <w:rPr>
          <w:sz w:val="22"/>
        </w:rPr>
        <w:t>Inversão completa do perfil de risco: em Janeiro/2025, o CA65926 estava ABAIXO da média da sua frota (0,22% vs 0,59%). Não nasceu problemático — a degradação é estrutural e recente.</w:t>
      </w:r>
    </w:p>
    <w:p>
      <w:pPr>
        <w:pStyle w:val="Commarcadores"/>
      </w:pPr>
      <w:r>
        <w:rPr>
          <w:sz w:val="22"/>
        </w:rPr>
        <w:t>Março/2025 foi um sinal de alerta antecipado: primeiro surto com taxa 8,5× a média da frota. Deveria ter motivado inspeção mais profunda. O recuo em Abril foi enganoso — a tendência se reverteu.</w:t>
      </w:r>
    </w:p>
    <w:p>
      <w:pPr>
        <w:pStyle w:val="Commarcadores"/>
      </w:pPr>
      <w:r>
        <w:rPr>
          <w:sz w:val="22"/>
        </w:rPr>
        <w:t>Junho/2025 é colapso: taxa de Don't Go 205× a média da frota. Variabilidade desta magnitude não é aleatória — é falha sistêmica que justifica retirada para inspeção estrutural completa.</w:t>
      </w:r>
    </w:p>
    <w:p>
      <w:pPr>
        <w:jc w:val="center"/>
      </w:pPr>
      <w:r>
        <w:drawing>
          <wp:inline xmlns:a="http://schemas.openxmlformats.org/drawingml/2006/main" xmlns:pic="http://schemas.openxmlformats.org/drawingml/2006/picture">
            <wp:extent cx="5486400" cy="2194560"/>
            <wp:docPr id="4" name="Picture 4"/>
            <wp:cNvGraphicFramePr>
              <a:graphicFrameLocks noChangeAspect="1"/>
            </wp:cNvGraphicFramePr>
            <a:graphic>
              <a:graphicData uri="http://schemas.openxmlformats.org/drawingml/2006/picture">
                <pic:pic>
                  <pic:nvPicPr>
                    <pic:cNvPr id="0" name="ca65926_monthly_escalation.png"/>
                    <pic:cNvPicPr/>
                  </pic:nvPicPr>
                  <pic:blipFill>
                    <a:blip r:embed="rId21"/>
                    <a:stretch>
                      <a:fillRect/>
                    </a:stretch>
                  </pic:blipFill>
                  <pic:spPr>
                    <a:xfrm>
                      <a:off x="0" y="0"/>
                      <a:ext cx="5486400" cy="2194560"/>
                    </a:xfrm>
                    <a:prstGeom prst="rect"/>
                  </pic:spPr>
                </pic:pic>
              </a:graphicData>
            </a:graphic>
          </wp:inline>
        </w:drawing>
      </w:r>
    </w:p>
    <w:p>
      <w:r>
        <w:rPr>
          <w:sz w:val="22"/>
        </w:rPr>
        <w:t>Fator de escalada interno: 100× entre o menor e o maior mês. A mediana da feature aceleracao_criticos saltou de 0,00 (Jan-Mai) para 0,87 em Junho — confirmação operacional do que o modelo já estava capturando como sinal preditivo.</w:t>
      </w:r>
    </w:p>
    <w:p>
      <w:pPr>
        <w:jc w:val="center"/>
      </w:pPr>
      <w:r>
        <w:drawing>
          <wp:inline xmlns:a="http://schemas.openxmlformats.org/drawingml/2006/main" xmlns:pic="http://schemas.openxmlformats.org/drawingml/2006/picture">
            <wp:extent cx="5486400" cy="2155371"/>
            <wp:docPr id="3" name="Picture 3"/>
            <wp:cNvGraphicFramePr>
              <a:graphicFrameLocks noChangeAspect="1"/>
            </wp:cNvGraphicFramePr>
            <a:graphic>
              <a:graphicData uri="http://schemas.openxmlformats.org/drawingml/2006/picture">
                <pic:pic>
                  <pic:nvPicPr>
                    <pic:cNvPr id="0" name="ca65926_daily_timeline.png"/>
                    <pic:cNvPicPr/>
                  </pic:nvPicPr>
                  <pic:blipFill>
                    <a:blip r:embed="rId20"/>
                    <a:stretch>
                      <a:fillRect/>
                    </a:stretch>
                  </pic:blipFill>
                  <pic:spPr>
                    <a:xfrm>
                      <a:off x="0" y="0"/>
                      <a:ext cx="5486400" cy="2155371"/>
                    </a:xfrm>
                    <a:prstGeom prst="rect"/>
                  </pic:spPr>
                </pic:pic>
              </a:graphicData>
            </a:graphic>
          </wp:inline>
        </w:drawing>
      </w:r>
    </w:p>
    <w:p>
      <w:r>
        <w:rPr>
          <w:sz w:val="22"/>
        </w:rPr>
        <w:t>Recomendação executiva: o CA65926 deve ser retirado de operação para inspeção estrutural completa. Adicionalmente, recomenda-se revisar o histórico de manutenções entre Fevereiro e Março/2025 para identificar o evento que precedeu o primeiro surto — essa investigação pode revelar uma causa raiz aplicável a futuras intervenções preventivas em outros equipamentos.</w:t>
      </w:r>
    </w:p>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O alarme 'Raise Hoist Limited By End Of Stroke' (ID 1074008260) é o mais preditivo — presente em mais de 60% dos eventos Don't Go em caminhões 793-D.</w:t>
      </w:r>
    </w:p>
    <w:p>
      <w:pPr>
        <w:jc w:val="center"/>
      </w:pPr>
      <w:r>
        <w:drawing>
          <wp:inline xmlns:a="http://schemas.openxmlformats.org/drawingml/2006/main" xmlns:pic="http://schemas.openxmlformats.org/drawingml/2006/picture">
            <wp:extent cx="4572000" cy="4000500"/>
            <wp:docPr id="2" name="Picture 2"/>
            <wp:cNvGraphicFramePr>
              <a:graphicFrameLocks noChangeAspect="1"/>
            </wp:cNvGraphicFramePr>
            <a:graphic>
              <a:graphicData uri="http://schemas.openxmlformats.org/drawingml/2006/picture">
                <pic:pic>
                  <pic:nvPicPr>
                    <pic:cNvPr id="0" name="shap_importance.png"/>
                    <pic:cNvPicPr/>
                  </pic:nvPicPr>
                  <pic:blipFill>
                    <a:blip r:embed="rId19"/>
                    <a:stretch>
                      <a:fillRect/>
                    </a:stretch>
                  </pic:blipFill>
                  <pic:spPr>
                    <a:xfrm>
                      <a:off x="0" y="0"/>
                      <a:ext cx="4572000" cy="4000500"/>
                    </a:xfrm>
                    <a:prstGeom prst="rect"/>
                  </pic:spPr>
                </pic:pic>
              </a:graphicData>
            </a:graphic>
          </wp:inline>
        </w:drawing>
      </w:r>
    </w:p>
    <w:p>
      <w:r>
        <w:rPr>
          <w:sz w:val="22"/>
        </w:rPr>
        <w:t>A recência do último Don't Go (n_dg_240m) e o contexto temporal (mês, hora do dia) completam o top-5 de features. O mês como feature captura sazonalidade operacional — padrões de manutenção preventiva agendada diferem entre meses.</w:t>
      </w:r>
    </w:p>
    <w:p>
      <w:pPr>
        <w:jc w:val="center"/>
      </w:pPr>
      <w:r>
        <w:drawing>
          <wp:inline xmlns:a="http://schemas.openxmlformats.org/drawingml/2006/main" xmlns:pic="http://schemas.openxmlformats.org/drawingml/2006/picture">
            <wp:extent cx="5029200" cy="3233057"/>
            <wp:docPr id="1" name="Picture 1"/>
            <wp:cNvGraphicFramePr>
              <a:graphicFrameLocks noChangeAspect="1"/>
            </wp:cNvGraphicFramePr>
            <a:graphic>
              <a:graphicData uri="http://schemas.openxmlformats.org/drawingml/2006/picture">
                <pic:pic>
                  <pic:nvPicPr>
                    <pic:cNvPr id="0" name="timeline_CA65926.png"/>
                    <pic:cNvPicPr/>
                  </pic:nvPicPr>
                  <pic:blipFill>
                    <a:blip r:embed="rId18"/>
                    <a:stretch>
                      <a:fillRect/>
                    </a:stretch>
                  </pic:blipFill>
                  <pic:spPr>
                    <a:xfrm>
                      <a:off x="0" y="0"/>
                      <a:ext cx="5029200" cy="3233057"/>
                    </a:xfrm>
                    <a:prstGeom prst="rect"/>
                  </pic:spPr>
                </pic:pic>
              </a:graphicData>
            </a:graphic>
          </wp:inline>
        </w:drawing>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janela operacional de 60 a 240 minutos, utilizando exclusivamente os dados de telemetria disponíveis. O pipeline completo (Bronze → Silver → Gold → Modelo) processa 37,2 milhões de eventos de forma eficiente e reproduzível; o modelo LightGBM alcança ROC-AUC &gt; 0,96 em todos os horizontes avaliados (60/120/240min), transformando dados brutos de sensores em um score de risco interpretável e acionável.</w:t>
      </w:r>
    </w:p>
    <w:p>
      <w:r>
        <w:rPr>
          <w:sz w:val="22"/>
        </w:rPr>
        <w:t>A comparação estruturada de cinco abordagens em três famílias algorítmicas (baseline naive, baseline de regra de negócio, Logistic Regression L1, Random Forest e LightGBM) demonstra um ganho de F1 de +343% sobre a heurística operacional tradicional, justificando empiricamente o investimento em modelagem preditiva. A análise de custo (FN=R$50K, FP=R$800) revela que o threshold custo-ótimo (0,51) economiza R$285 milhões no mês de teste em relação ao threshold puramente otimizado por F1, capturando 91% mais Verdadeiros Positivos — em problemas operacionais críticos, este é o regime de operação correto.</w:t>
      </w:r>
    </w:p>
    <w:p>
      <w:r>
        <w:rPr>
          <w:sz w:val="22"/>
        </w:rPr>
        <w:t>A identificação do CA65926 como outlier extremo (taxa DG 98× superior à média semestral; 61,6% em Jun/2025) é por si só um achado de alto valor operacional, direcionando recursos de manutenção para o equipamento que mais necessita de intervenção estrutural. A segmentação por frota também documenta uma limitação importante: o modelo atual falha em escavadeiras LeTourneau (Recall=0,14), padrão de falha distinto que motiva trabalho futuro com modelos especializados.</w:t>
      </w:r>
    </w:p>
    <w:p>
      <w:pPr>
        <w:pStyle w:val="Ttulo2"/>
      </w:pPr>
      <w:r>
        <w:rPr>
          <w:color w:val="00A650"/>
        </w:rPr>
        <w:t>Trabalhos Futuros</w:t>
      </w:r>
    </w:p>
    <w:p>
      <w:r>
        <w:rPr>
          <w:sz w:val="22"/>
        </w:rPr>
        <w:t>Os trabalhos futuros listados abaixo são fundamentados em achados específicos desta análise — não são genéricos. Cada item endereça uma limitação documentada ou oportunidade identificada empiricamente:</w:t>
      </w:r>
    </w:p>
    <w:p>
      <w:pPr>
        <w:pStyle w:val="Commarcadores"/>
      </w:pPr>
      <w:r>
        <w:rPr>
          <w:sz w:val="22"/>
        </w:rPr>
        <w:t>1. Fingerprint dedicado da escavadeira LeTourneau L 1850 — o Sprint 11 já identificou empiricamente os alarmes a adicionar: 'Channel Forced' (lift 44×, taxa pré-DG 16,7%) e 'MC - Temperatura do PTO &gt;90°C' (lift 28,7×) são os sinais mais preditivos e estão 100% ausentes do fingerprint atual (excluídos pelo critério de frequência por serem raros). O próximo passo concreto é (a) adicionar os top-8 alarmes de alto lift da escavadeira como features binárias dedicadas e retreinar avaliando o ganho de recall na LeTourneau, (b) acoplar ao detector de drift do Sprint 8 com threshold relativo por frota (λ_fleet = max(0,005, base_rate × 5)) capturando classes raras, e (c) investigação operacional do colapso de taxa DG entre Mai e Jun — possível achado de negócio em si.</w:t>
      </w:r>
    </w:p>
    <w:p>
      <w:pPr>
        <w:pStyle w:val="Commarcadores"/>
      </w:pPr>
      <w:r>
        <w:rPr>
          <w:sz w:val="22"/>
        </w:rPr>
        <w:t>2. Adaptação online da política de threshold por frota — o Sprint 9 já implementou a tabela de decisão custo-ótima por frota (economia adicional sobre o threshold único e F1 agregado +17% relativo). A evolução natural é acoplar essa política ao detector de drift do Sprint 8: recalibrar automaticamente o threshold de cada frota quando o KS mensal ultrapassar 0,3, mantendo a decisão custo-ótima sob distribuição não-estacionária.</w:t>
      </w:r>
    </w:p>
    <w:p>
      <w:pPr>
        <w:pStyle w:val="Commarcadores"/>
      </w:pPr>
      <w:r>
        <w:rPr>
          <w:sz w:val="22"/>
        </w:rPr>
        <w:t>3. Calibração isotônica das probabilidades — derivado do Sprint 3: Brier=0,020 com sobre-estimativa em probabilidades intermediárias devido ao scale_pos_weight=40. Pós-processamento isotônico preservaria o ranking e produziria probabilidades absolutas adequadas para precificação de manutenção e seguros.</w:t>
      </w:r>
    </w:p>
    <w:p>
      <w:pPr>
        <w:pStyle w:val="Commarcadores"/>
      </w:pPr>
      <w:r>
        <w:rPr>
          <w:sz w:val="22"/>
        </w:rPr>
        <w:t>4. Investigação operacional do CA65926 — equipamento com taxa DG de 61,6% em Jun/2025 (98× a média semestral). Recomenda-se inspeção estrutural profunda; o padrão é incompatível com manutenção corretiva padrão.</w:t>
      </w:r>
    </w:p>
    <w:p>
      <w:pPr>
        <w:pStyle w:val="Commarcadores"/>
      </w:pPr>
      <w:r>
        <w:rPr>
          <w:sz w:val="22"/>
        </w:rPr>
        <w:t>5. Coleta de dados de operador — habilitar a validação da hipótese H7 (D3 do PRD) em rodadas futuras do desafio. As colunas Nome_Operador_Anon e Matricula_Operador_Hash documentadas no dicionário não estão presentes no parquet fornecido.</w:t>
      </w:r>
    </w:p>
    <w:p>
      <w:pPr>
        <w:pStyle w:val="Commarcadores"/>
      </w:pPr>
      <w:r>
        <w:rPr>
          <w:sz w:val="22"/>
        </w:rPr>
        <w:t>6. Re-treinamento adaptativo para a escavadeira — a PoC de modelo sequencial (GRU) do Sprint 12 foi testada e NÃO superou o baseline (PR-AUC 0,0002 vs 0,0102; ROC-AUC 0,43), confirmando que o gargalo é a não-estacionariedade, não a arquitetura. O caminho indicado não é um modelo estático mais complexo, mas (a) pipeline de re-treinamento disparado pelo detector de drift do Sprint 8 e (b) investigação operacional do colapso da taxa de Don't Go da escavadeira entre Mai e Jun/2025. Um Temporal Fusion Transformer só faria sentido após estabilizar a distribuição via re-treino adaptativo.</w:t>
      </w:r>
    </w:p>
    <w:p>
      <w:pPr>
        <w:pStyle w:val="Commarcadores"/>
      </w:pPr>
      <w:r>
        <w:rPr>
          <w:sz w:val="22"/>
        </w:rPr>
        <w:t>7. Integração em tempo real — conectar o pipeline ao sistema de telemetria em produção via streaming (Kafka/Kinesis), com geração de alertas preventivos automáticos a partir do score de risco. O dashboard Streamlit atual já demonstra a interface de consumo.</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