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2711" w14:textId="15881B63" w:rsidR="004152DA" w:rsidRPr="00151F8D" w:rsidRDefault="000416B3" w:rsidP="004152DA">
      <w:pPr>
        <w:spacing w:after="200" w:line="240" w:lineRule="auto"/>
        <w:jc w:val="center"/>
        <w:rPr>
          <w:rFonts w:ascii="Vale Sans" w:eastAsia="MS Mincho" w:hAnsi="Vale Sans" w:cs="Times New Roman"/>
          <w:b/>
          <w:kern w:val="0"/>
          <w:sz w:val="40"/>
          <w:szCs w:val="28"/>
          <w14:ligatures w14:val="none"/>
        </w:rPr>
      </w:pPr>
      <w:r w:rsidRPr="000416B3">
        <w:rPr>
          <w:rFonts w:ascii="Vale Sans" w:eastAsia="MS Mincho" w:hAnsi="Vale Sans" w:cs="Times New Roman"/>
          <w:b/>
          <w:kern w:val="0"/>
          <w:sz w:val="40"/>
          <w:szCs w:val="28"/>
          <w14:ligatures w14:val="none"/>
        </w:rPr>
        <w:t>Relatório Final</w:t>
      </w:r>
      <w:r w:rsidRPr="000416B3">
        <w:rPr>
          <w:rFonts w:ascii="Vale Sans" w:eastAsia="MS Mincho" w:hAnsi="Vale Sans" w:cs="Times New Roman"/>
          <w:b/>
          <w:kern w:val="0"/>
          <w:sz w:val="40"/>
          <w:szCs w:val="28"/>
          <w14:ligatures w14:val="none"/>
        </w:rPr>
        <w:br/>
        <w:t xml:space="preserve">Desafio: </w:t>
      </w:r>
      <w:r w:rsidRPr="00151F8D">
        <w:rPr>
          <w:rFonts w:ascii="Vale Sans" w:eastAsia="MS Mincho" w:hAnsi="Vale Sans" w:cs="Times New Roman"/>
          <w:b/>
          <w:kern w:val="0"/>
          <w:sz w:val="40"/>
          <w:szCs w:val="28"/>
          <w14:ligatures w14:val="none"/>
        </w:rPr>
        <w:t>Análise Avançada de Dados</w:t>
      </w:r>
    </w:p>
    <w:p w14:paraId="72D25ED6" w14:textId="77777777" w:rsidR="0033500A" w:rsidRDefault="0033500A">
      <w:pPr>
        <w:rPr>
          <w:rFonts w:ascii="Vale Sans" w:eastAsia="MS Mincho" w:hAnsi="Vale Sans" w:cs="Times New Roman"/>
          <w:bCs/>
          <w:kern w:val="0"/>
          <w:sz w:val="28"/>
          <w:szCs w:val="20"/>
          <w14:ligatures w14:val="none"/>
        </w:rPr>
      </w:pPr>
      <w:r>
        <w:rPr>
          <w:rFonts w:ascii="Vale Sans" w:eastAsia="MS Mincho" w:hAnsi="Vale Sans" w:cs="Times New Roman"/>
          <w:bCs/>
          <w:kern w:val="0"/>
          <w:sz w:val="28"/>
          <w:szCs w:val="20"/>
          <w14:ligatures w14:val="none"/>
        </w:rPr>
        <w:br w:type="page"/>
      </w:r>
    </w:p>
    <w:p w14:paraId="2538A2E1" w14:textId="702C6959" w:rsidR="004152DA" w:rsidRPr="00151F8D" w:rsidRDefault="004152DA" w:rsidP="004152DA">
      <w:pPr>
        <w:spacing w:after="200" w:line="240" w:lineRule="auto"/>
        <w:jc w:val="center"/>
        <w:rPr>
          <w:rFonts w:ascii="Vale Sans" w:eastAsia="MS Mincho" w:hAnsi="Vale Sans" w:cs="Times New Roman"/>
          <w:bCs/>
          <w:kern w:val="0"/>
          <w:sz w:val="28"/>
          <w:szCs w:val="20"/>
          <w14:ligatures w14:val="none"/>
        </w:rPr>
      </w:pPr>
      <w:r w:rsidRPr="00151F8D">
        <w:rPr>
          <w:rFonts w:ascii="Vale Sans" w:eastAsia="MS Mincho" w:hAnsi="Vale Sans" w:cs="Times New Roman"/>
          <w:bCs/>
          <w:kern w:val="0"/>
          <w:sz w:val="28"/>
          <w:szCs w:val="20"/>
          <w14:ligatures w14:val="none"/>
        </w:rPr>
        <w:t>Don't Go Predictor</w:t>
      </w:r>
    </w:p>
    <w:p w14:paraId="226AA057" w14:textId="579AD262"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t>Breno Teodomiro de Carvalho Neto</w:t>
      </w:r>
    </w:p>
    <w:p w14:paraId="6ED56E86" w14:textId="58443803"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t xml:space="preserve">Vale S.A. </w:t>
      </w:r>
    </w:p>
    <w:p w14:paraId="3DE1013F"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hyperlink r:id="rId11" w:history="1">
        <w:r w:rsidRPr="00151F8D">
          <w:rPr>
            <w:rStyle w:val="Hyperlink"/>
            <w:rFonts w:ascii="Vale Sans" w:eastAsia="MS Mincho" w:hAnsi="Vale Sans" w:cs="Times New Roman"/>
            <w:bCs/>
            <w:kern w:val="0"/>
            <w:szCs w:val="18"/>
            <w14:ligatures w14:val="none"/>
          </w:rPr>
          <w:t>Participante1@email.com</w:t>
        </w:r>
      </w:hyperlink>
    </w:p>
    <w:p w14:paraId="2D1B2DB3"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06B4FF94" w14:textId="1AD51A63"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r>
    </w:p>
    <w:p w14:paraId="68BD722E" w14:textId="6FA95272"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r>
    </w:p>
    <w:p w14:paraId="46D24F5D" w14:textId="4FF3247F" w:rsidR="004152DA" w:rsidRPr="00151F8D" w:rsidRDefault="004152DA" w:rsidP="004152DA">
      <w:pPr>
        <w:spacing w:after="0" w:line="240" w:lineRule="auto"/>
        <w:jc w:val="center"/>
        <w:rPr>
          <w:rFonts w:ascii="Vale Sans" w:eastAsia="MS Mincho" w:hAnsi="Vale Sans" w:cs="Times New Roman"/>
          <w:bCs/>
          <w:kern w:val="0"/>
          <w:szCs w:val="18"/>
          <w14:ligatures w14:val="none"/>
        </w:rPr>
      </w:pPr>
      <w:hyperlink r:id="rId12" w:history="1">
        <w:r w:rsidRPr="00151F8D">
          <w:rPr>
            <w:rStyle w:val="Hyperlink"/>
            <w:rFonts w:ascii="Vale Sans" w:eastAsia="MS Mincho" w:hAnsi="Vale Sans" w:cs="Times New Roman"/>
            <w:bCs/>
            <w:kern w:val="0"/>
            <w:szCs w:val="18"/>
            <w14:ligatures w14:val="none"/>
          </w:rPr>
          <w:t>Participante2@email.com</w:t>
        </w:r>
      </w:hyperlink>
    </w:p>
    <w:p w14:paraId="73C2DE19"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15CF4CDC" w14:textId="22161DA5"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r>
    </w:p>
    <w:p w14:paraId="4CC45D6D" w14:textId="7DA01CFD"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Cs/>
          <w:kern w:val="0"/>
          <w:szCs w:val="18"/>
          <w14:ligatures w14:val="none"/>
        </w:rPr>
      </w:r>
    </w:p>
    <w:p w14:paraId="2440FFB5" w14:textId="74A8BF57" w:rsidR="004152DA" w:rsidRPr="00151F8D" w:rsidRDefault="004152DA" w:rsidP="004152DA">
      <w:pPr>
        <w:spacing w:after="0" w:line="240" w:lineRule="auto"/>
        <w:jc w:val="center"/>
        <w:rPr>
          <w:rFonts w:ascii="Vale Sans" w:eastAsia="MS Mincho" w:hAnsi="Vale Sans" w:cs="Times New Roman"/>
          <w:bCs/>
          <w:kern w:val="0"/>
          <w:szCs w:val="18"/>
          <w14:ligatures w14:val="none"/>
        </w:rPr>
      </w:pPr>
      <w:hyperlink r:id="rId13" w:history="1">
        <w:r w:rsidRPr="00151F8D">
          <w:rPr>
            <w:rStyle w:val="Hyperlink"/>
            <w:rFonts w:ascii="Vale Sans" w:eastAsia="MS Mincho" w:hAnsi="Vale Sans" w:cs="Times New Roman"/>
            <w:bCs/>
            <w:kern w:val="0"/>
            <w:szCs w:val="18"/>
            <w14:ligatures w14:val="none"/>
          </w:rPr>
          <w:t>Participante3@email.com</w:t>
        </w:r>
      </w:hyperlink>
    </w:p>
    <w:p w14:paraId="31A7CAC8"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0AEF9ED4" w14:textId="77777777" w:rsidR="004152DA" w:rsidRPr="00151F8D" w:rsidRDefault="004152DA" w:rsidP="00A3771B">
      <w:pPr>
        <w:ind w:left="142"/>
        <w:rPr>
          <w:rFonts w:ascii="Vale Sans" w:hAnsi="Vale Sans" w:cs="Calibri"/>
          <w:b/>
          <w:bCs/>
          <w:sz w:val="32"/>
          <w:szCs w:val="32"/>
        </w:rPr>
      </w:pPr>
    </w:p>
    <w:p w14:paraId="3F2A4464" w14:textId="77777777" w:rsidR="0033500A" w:rsidRDefault="0033500A">
      <w:pPr>
        <w:rPr>
          <w:rFonts w:ascii="Vale Sans" w:hAnsi="Vale Sans" w:cs="Calibri"/>
          <w:b/>
          <w:bCs/>
        </w:rPr>
      </w:pPr>
      <w:r>
        <w:rPr>
          <w:rFonts w:ascii="Vale Sans" w:hAnsi="Vale Sans" w:cs="Calibri"/>
          <w:b/>
          <w:bCs/>
        </w:rPr>
        <w:br w:type="page"/>
      </w:r>
    </w:p>
    <w:p w14:paraId="2EB16871" w14:textId="0FC2784C" w:rsidR="004152DA" w:rsidRPr="00151F8D" w:rsidRDefault="004152DA" w:rsidP="004152DA">
      <w:pPr>
        <w:jc w:val="both"/>
        <w:rPr>
          <w:rFonts w:ascii="Vale Sans" w:hAnsi="Vale Sans" w:cs="Calibri"/>
        </w:rPr>
      </w:pPr>
      <w:r>
        <w:rPr>
          <w:sz w:val="22"/>
        </w:rPr>
        <w:t>Resumo. Este trabalho apresenta uma solução de análise preditiva para eventos Don't Go em equipamentos de mineração pesada da Vale. Foram processados 37,2 milhões de eventos de telemetria (Janeiro–Junho 2025) de 35 equipamentos por meio de um pipeline de dados em camadas (Bronze → Silver → Gold). O modelo LightGBM, treinado com 54 features derivadas de telemetria — incluindo frequências de alarmes em janelas rolantes de 15 a 240 minutos, fingerprint dos top-30 alarmes e contexto operacional de turno e frota — alcançou ROC-AUC de 0,99 e F1-Score de 0,68 na predição de eventos Don't Go com 60 minutos de antecedência (validação temporal: treino Jan–Mai, teste Jun). O equipamento CA65926 (793-D 4S) foi identificado como outlier crítico, com taxa de Don't Go 98× superior à média da frota (5,3% vs 0,054%). A análise SHAP revelou que as features mais determinantes são a recência do último evento Don't Go, a aceleração de alarmes críticos na janela de 60 minutos e a presença de alarmes específicos no fingerprint. Um dashboard interativo (Streamlit) e seis visualizações HTML standalone foram desenvolvidos para comunicar os resultados de forma executiva.</w:t>
      </w:r>
    </w:p>
    <w:p w14:paraId="69163F52" w14:textId="0AB2B27A" w:rsidR="004152DA" w:rsidRPr="00151F8D" w:rsidRDefault="004152DA" w:rsidP="004152DA">
      <w:pPr>
        <w:jc w:val="both"/>
        <w:rPr>
          <w:rFonts w:ascii="Vale Sans" w:hAnsi="Vale Sans" w:cs="Calibri"/>
        </w:rPr>
      </w:pPr>
      <w:r>
        <w:rPr>
          <w:i/>
          <w:sz w:val="22"/>
        </w:rPr>
        <w:t>Palavras-Chave: Manutenção Preditiva; LightGBM; Alarm Fingerprint; Don't Go; Telemetria; Pipeline Medallion; SHAP; Mineração de Dados</w:t>
      </w:r>
    </w:p>
    <w:p w14:paraId="370915B7" w14:textId="0E4C7768" w:rsidR="004152DA" w:rsidRPr="00151F8D" w:rsidRDefault="004152DA" w:rsidP="00A3771B">
      <w:pPr>
        <w:pStyle w:val="Ttulo1"/>
        <w:numPr>
          <w:ilvl w:val="0"/>
          <w:numId w:val="21"/>
        </w:numPr>
        <w:ind w:left="284" w:hanging="284"/>
        <w:rPr>
          <w:rFonts w:ascii="Vale Sans" w:hAnsi="Vale Sans"/>
        </w:rPr>
      </w:pPr>
      <w:r w:rsidRPr="00151F8D">
        <w:rPr>
          <w:rFonts w:ascii="Vale Sans" w:hAnsi="Vale Sans"/>
          <w:sz w:val="28"/>
          <w:szCs w:val="28"/>
        </w:rPr>
        <w:t>Introdução</w:t>
      </w:r>
    </w:p>
    <w:p>
      <w:r>
        <w:rPr>
          <w:sz w:val="22"/>
        </w:rPr>
        <w:t>Equipamentos de mineração pesada — caminhões 793-D e escavadeiras LeTourneau — geram continuamente dados de telemetria a partir de centenas de sensores embarcados. Em um período de seis meses (Janeiro–Junho 2025), foram registrados 37,2 milhões de eventos de alarme para 35 equipamentos na operação de Itabira. Esses alarmes são processados em tempo real por sistemas OEM que emitem alertas Don't Go quando a combinação de falhas críticas ultrapassa um limiar operacional de segurança, resultando na proibição imediata de uso do equipamento.</w:t>
      </w:r>
    </w:p>
    <w:p>
      <w:r>
        <w:rPr>
          <w:sz w:val="22"/>
        </w:rPr>
        <w:t>O problema central é a natureza reativa do processo atual: o alerta Don't Go é identificado apenas quando já ocorreu, causando paralisações não planejadas, custo elevado de manutenção emergencial e risco operacional. Os dados de telemetria, contudo, contêm padrões que precedem esses eventos — uma janela de oportunidade para intervenção preventiva.</w:t>
      </w:r>
    </w:p>
    <w:p>
      <w:pPr>
        <w:pStyle w:val="Ttulo2"/>
      </w:pPr>
      <w:r>
        <w:rPr>
          <w:color w:val="00A650"/>
        </w:rPr>
        <w:t>Objetivo</w:t>
      </w:r>
    </w:p>
    <w:p>
      <w:r>
        <w:rPr>
          <w:sz w:val="22"/>
        </w:rPr>
        <w:t>Desenvolver um sistema de análise preditiva que:</w:t>
      </w:r>
    </w:p>
    <w:p>
      <w:pPr>
        <w:pStyle w:val="Commarcadores"/>
      </w:pPr>
      <w:r>
        <w:rPr>
          <w:sz w:val="22"/>
        </w:rPr>
        <w:t>processe os 37,2 milhões de eventos de telemetria em um pipeline reproduzível (Bronze → Silver → Gold);</w:t>
      </w:r>
    </w:p>
    <w:p>
      <w:pPr>
        <w:pStyle w:val="Commarcadores"/>
      </w:pPr>
      <w:r>
        <w:rPr>
          <w:sz w:val="22"/>
        </w:rPr>
        <w:t>identifique o 'fingerprint' de alarmes que precedem eventos Don't Go com até 4 horas de antecedência;</w:t>
      </w:r>
    </w:p>
    <w:p>
      <w:pPr>
        <w:pStyle w:val="Commarcadores"/>
      </w:pPr>
      <w:r>
        <w:rPr>
          <w:sz w:val="22"/>
        </w:rPr>
        <w:t>treine e avalie um modelo LightGBM capaz de prever Don't Go com pelo menos 1 hora de antecedência;</w:t>
      </w:r>
    </w:p>
    <w:p>
      <w:pPr>
        <w:pStyle w:val="Commarcadores"/>
      </w:pPr>
      <w:r>
        <w:rPr>
          <w:sz w:val="22"/>
        </w:rPr>
        <w:t>gere insights acionáveis sobre padrões operacionais da frota, com explicabilidade via SHAP.</w:t>
      </w:r>
    </w:p>
    <w:p w14:paraId="36C722DE" w14:textId="3395A64D" w:rsidR="00A3771B" w:rsidRPr="00151F8D" w:rsidRDefault="00A3771B" w:rsidP="00A3771B">
      <w:pPr>
        <w:pStyle w:val="Commarcadores"/>
        <w:numPr>
          <w:ilvl w:val="0"/>
          <w:numId w:val="0"/>
        </w:numPr>
        <w:jc w:val="both"/>
        <w:rPr>
          <w:rFonts w:ascii="Vale Sans" w:eastAsiaTheme="minorHAnsi" w:hAnsi="Vale Sans"/>
          <w:kern w:val="2"/>
          <w:sz w:val="24"/>
          <w:szCs w:val="24"/>
          <w:lang w:val="pt-BR"/>
          <w14:ligatures w14:val="standardContextual"/>
        </w:rPr>
      </w:pPr>
      <w:r w:rsidRPr="00151F8D">
        <w:rPr>
          <w:rFonts w:ascii="Vale Sans" w:eastAsiaTheme="minorHAnsi" w:hAnsi="Vale Sans"/>
          <w:kern w:val="2"/>
          <w:sz w:val="24"/>
          <w:szCs w:val="24"/>
          <w:lang w:val="pt-BR"/>
          <w14:ligatures w14:val="standardContextual"/>
        </w:rPr>
        <w:t xml:space="preserve"> </w:t>
      </w:r>
    </w:p>
    <w:p w14:paraId="5A66F0EB" w14:textId="231F26D3"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t>Entendimento do Negócio</w:t>
      </w:r>
    </w:p>
    <w:p>
      <w:pPr>
        <w:pStyle w:val="Ttulo2"/>
      </w:pPr>
      <w:r>
        <w:rPr>
          <w:color w:val="00A650"/>
        </w:rPr>
        <w:t>Contexto Operacional</w:t>
      </w:r>
    </w:p>
    <w:p>
      <w:r>
        <w:rPr>
          <w:sz w:val="22"/>
        </w:rPr>
        <w:t>A operação de mineração da Vale em Itabira utiliza dois tipos de equipamentos pesados:</w:t>
      </w:r>
    </w:p>
    <w:p>
      <w:pPr>
        <w:pStyle w:val="Commarcadores"/>
      </w:pPr>
      <w:r>
        <w:rPr>
          <w:sz w:val="22"/>
        </w:rPr>
        <w:t>Caminhões 793-D (frotas 2S, 3S, 4S e 5S): principais transportadores de minério, sujeitos a intenso ciclo de carga e descarga.</w:t>
      </w:r>
    </w:p>
    <w:p>
      <w:pPr>
        <w:pStyle w:val="Commarcadores"/>
      </w:pPr>
      <w:r>
        <w:rPr>
          <w:sz w:val="22"/>
        </w:rPr>
        <w:t>Escavadeiras LeTourneau L 1850: equipamentos de carregamento de alta capacidade.</w:t>
      </w:r>
    </w:p>
    <w:p>
      <w:r>
        <w:rPr>
          <w:sz w:val="22"/>
        </w:rPr>
        <w:t>Os equipamentos são monitorados continuamente por telemetria. Cada evento registra o alarme disparado, seu nível de criticidade (1=Crítico, 2=Não-Crítico, 3=Informativo, 4=Outro), o valor do sensor e o estado do alarme (Ativar/Inativar).</w:t>
      </w:r>
    </w:p>
    <w:p>
      <w:pPr>
        <w:pStyle w:val="Ttulo2"/>
      </w:pPr>
      <w:r>
        <w:rPr>
          <w:color w:val="00A650"/>
        </w:rPr>
        <w:t>Evento Don't Go</w:t>
      </w:r>
    </w:p>
    <w:p>
      <w:r>
        <w:rPr>
          <w:sz w:val="22"/>
        </w:rPr>
        <w:t>O Don't Go é o alerta mais severo do sistema OEM. Ele é gerado quando uma combinação específica de alarmes críticos está ativa simultaneamente, sinalizando que o equipamento não está em condições seguras de operação. Quando acionado, o equipamento é imediatamente retirado de serviço para intervenção de manutenção.</w:t>
      </w:r>
    </w:p>
    <w:p>
      <w:r>
        <w:rPr>
          <w:sz w:val="22"/>
        </w:rPr>
        <w:t>Análise dos dados revelou que eventos Don't Go representam apenas 0,054% dos registros de telemetria, configurando um desbalanceamento de classes severo (razão 1:1.860). Esse desbalanceamento é o principal desafio técnico do problema.</w:t>
      </w:r>
    </w:p>
    <w:p>
      <w:pPr>
        <w:pStyle w:val="Ttulo2"/>
      </w:pPr>
      <w:r>
        <w:rPr>
          <w:color w:val="00A650"/>
        </w:rPr>
        <w:t>Descobertas Exploratórias (EDA)</w:t>
      </w:r>
    </w:p>
    <w:p>
      <w:r>
        <w:rPr>
          <w:sz w:val="22"/>
        </w:rPr>
        <w:t>A análise exploratória validou e refutou as hipóteses de negócio levantadas:</w:t>
      </w:r>
    </w:p>
    <w:p>
      <w:pPr>
        <w:pStyle w:val="Commarcadores"/>
      </w:pPr>
      <w:r>
        <w:rPr>
          <w:sz w:val="22"/>
        </w:rPr>
        <w:t>H1 ✅ CONFIRMADA: existe uma sequência característica de alarmes críticos que precede o Don't Go nas 4 horas anteriores — o 'alarm fingerprint'.</w:t>
      </w:r>
    </w:p>
    <w:p>
      <w:pPr>
        <w:pStyle w:val="Commarcadores"/>
      </w:pPr>
      <w:r>
        <w:rPr>
          <w:sz w:val="22"/>
        </w:rPr>
        <w:t>H2 ✅ CONFIRMADA: a frequência de alarmes críticos aumenta progressivamente (aceleração) nas horas que antecedem um Don't Go.</w:t>
      </w:r>
    </w:p>
    <w:p>
      <w:pPr>
        <w:pStyle w:val="Commarcadores"/>
      </w:pPr>
      <w:r>
        <w:rPr>
          <w:sz w:val="22"/>
        </w:rPr>
        <w:t>H3 ✅ CONFIRMADA: o modelo 793-D 4S apresenta perfil de falha distinto — taxa DG 3× superior à média dos demais caminhões.</w:t>
      </w:r>
    </w:p>
    <w:p>
      <w:pPr>
        <w:pStyle w:val="Commarcadores"/>
      </w:pPr>
      <w:r>
        <w:rPr>
          <w:sz w:val="22"/>
        </w:rPr>
        <w:t>H4 ❌ REFUTADA: Don't Go distribui-se uniformemente nas 24 horas do dia, sem concentração em turno específico.</w:t>
      </w:r>
    </w:p>
    <w:p>
      <w:pPr>
        <w:pStyle w:val="Commarcadores"/>
      </w:pPr>
      <w:r>
        <w:rPr>
          <w:sz w:val="22"/>
        </w:rPr>
        <w:t>H5 ✅ CONFIRMADA: equipamentos em manutenção recente têm menor taxa de Don't Go nas 24h seguintes.</w:t>
      </w:r>
    </w:p>
    <w:p>
      <w:pPr>
        <w:pStyle w:val="Commarcadores"/>
      </w:pPr>
      <w:r>
        <w:rPr>
          <w:sz w:val="22"/>
        </w:rPr>
        <w:t>H6 N/A: todos os dados são de Itabira — variável de localidade sem discriminação.</w:t>
      </w:r>
    </w:p>
    <w:p>
      <w:pPr>
        <w:pStyle w:val="Commarcadores"/>
      </w:pPr>
      <w:r>
        <w:rPr>
          <w:sz w:val="22"/>
        </w:rPr>
        <w:t>H7 N/A: colunas de operador ausentes no dataset de parquet — não validável.</w:t>
      </w:r>
    </w:p>
    <w:p>
      <w:pPr>
        <w:pStyle w:val="Ttulo2"/>
      </w:pPr>
      <w:r>
        <w:rPr>
          <w:color w:val="00A650"/>
        </w:rPr>
        <w:t>Equipamento Crítico: CA65926</w:t>
      </w:r>
    </w:p>
    <w:p>
      <w:r>
        <w:rPr>
          <w:sz w:val="22"/>
        </w:rPr>
        <w:t>O equipamento CA65926 (793-D 4S) é um outlier extremo: taxa de Don't Go de 5,31% — 98 vezes superior à média da frota (0,054%) e 2,5 vezes superior ao segundo equipamento mais crítico (CA65908, 2,16%). Em 6 meses, gerou 5.112 eventos Don't Go em 96.220 registros de telemetria, exigindo análise e atenção individualizadas.</w:t>
      </w:r>
    </w:p>
    <w:p w14:paraId="4CB7C4E1" w14:textId="7A12C99A"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t>Metodologia</w:t>
      </w:r>
    </w:p>
    <w:p>
      <w:pPr>
        <w:pStyle w:val="Ttulo2"/>
      </w:pPr>
      <w:r>
        <w:rPr>
          <w:color w:val="00A650"/>
        </w:rPr>
        <w:t>Arquitetura do Pipeline (Medallion)</w:t>
      </w:r>
    </w:p>
    <w:p>
      <w:r>
        <w:rPr>
          <w:sz w:val="22"/>
        </w:rPr>
        <w:t>A solução implementa uma arquitetura de dados em camadas, garantindo reprodutibilidade e rastreabilidade:</w:t>
      </w:r>
    </w:p>
    <w:p>
      <w:pPr>
        <w:pStyle w:val="Commarcadores"/>
      </w:pPr>
      <w:r>
        <w:rPr>
          <w:sz w:val="22"/>
        </w:rPr>
        <w:t>Bronze: ingestão dos parquets de telemetria (37,2M registros) e apontamentos (377K registros) com validação de schema, correção de tipos (Valor em formato BR, timestamps como string) e filtragem de registros inválidos.</w:t>
      </w:r>
    </w:p>
    <w:p>
      <w:pPr>
        <w:pStyle w:val="Commarcadores"/>
      </w:pPr>
      <w:r>
        <w:rPr>
          <w:sz w:val="22"/>
        </w:rPr>
        <w:t>Silver: join temporal entre telemetria e apontamentos (estado operacional por TAG e janela temporal); aplicação do look-ahead de 60, 120 e 240 minutos para criação do target is_dont_go_next_60m. Processado mês a mês para respeitar restrição de RAM.</w:t>
      </w:r>
    </w:p>
    <w:p>
      <w:pPr>
        <w:pStyle w:val="Commarcadores"/>
      </w:pPr>
      <w:r>
        <w:rPr>
          <w:sz w:val="22"/>
        </w:rPr>
        <w:t>Gold: feature engineering dia a dia com overlap de 4 horas para garantir consistência das janelas rolantes. 54 features geradas por equipamento e timestamp.</w:t>
      </w:r>
    </w:p>
    <w:p>
      <w:pPr>
        <w:pStyle w:val="Ttulo2"/>
      </w:pPr>
      <w:r>
        <w:rPr>
          <w:color w:val="00A650"/>
        </w:rPr>
        <w:t>Feature Engineering (54 Features)</w:t>
      </w:r>
    </w:p>
    <w:p>
      <w:r>
        <w:rPr>
          <w:sz w:val="22"/>
        </w:rPr>
        <w:t>As features foram organizadas em 5 grupos:</w:t>
      </w:r>
    </w:p>
    <w:p>
      <w:pPr>
        <w:pStyle w:val="Commarcadores"/>
      </w:pPr>
      <w:r>
        <w:rPr>
          <w:sz w:val="22"/>
        </w:rPr>
        <w:t>Frequência de alarmes (16 features): contagem de alarmes totais, críticos, não-críticos e Don't Go em janelas rolantes de 15, 30, 60 e 240 minutos. Captura a densidade e intensidade do estado de degradação.</w:t>
      </w:r>
    </w:p>
    <w:p>
      <w:pPr>
        <w:pStyle w:val="Commarcadores"/>
      </w:pPr>
      <w:r>
        <w:rPr>
          <w:sz w:val="22"/>
        </w:rPr>
        <w:t>Aceleração (2 features): razão entre frequência na janela de 60min vs. média da janela de 240min — detecta clustering iminente de falhas.</w:t>
      </w:r>
    </w:p>
    <w:p>
      <w:pPr>
        <w:pStyle w:val="Commarcadores"/>
      </w:pPr>
      <w:r>
        <w:rPr>
          <w:sz w:val="22"/>
        </w:rPr>
        <w:t>Alarm Fingerprint (30 features): presença (0/1) dos top-30 alarmes mais frequentes na janela de 4 horas anteriores a cada evento. Representa o 'DNA' dos padrões que precedem Don't Go.</w:t>
      </w:r>
    </w:p>
    <w:p>
      <w:pPr>
        <w:pStyle w:val="Commarcadores"/>
      </w:pPr>
      <w:r>
        <w:rPr>
          <w:sz w:val="22"/>
        </w:rPr>
        <w:t>Recência (1 feature): minutos desde o último evento Don't Go por equipamento. Equipamentos com DG recente têm maior risco de reincidência.</w:t>
      </w:r>
    </w:p>
    <w:p>
      <w:pPr>
        <w:pStyle w:val="Commarcadores"/>
      </w:pPr>
      <w:r>
        <w:rPr>
          <w:sz w:val="22"/>
        </w:rPr>
        <w:t>Contexto temporal e operacional (5 features): hora do dia, dia da semana, posição no turno, frota codificada, estado de apontamento (operando/manutenção).</w:t>
      </w:r>
    </w:p>
    <w:p>
      <w:pPr>
        <w:pStyle w:val="Ttulo2"/>
      </w:pPr>
      <w:r>
        <w:rPr>
          <w:color w:val="00A650"/>
        </w:rPr>
        <w:t>Modelo Preditivo e Estratégia de Comparação</w:t>
      </w:r>
    </w:p>
    <w:p>
      <w:r>
        <w:rPr>
          <w:sz w:val="22"/>
        </w:rPr>
        <w:t>A escolha do modelo principal foi precedida por uma comparação multi-família estruturada em cinco níveis, atendendo aos requisitos de validação temporal (CM 4.1), baseline (CM 4.2) e dois modelos distintos documentados (CM 4.3):</w:t>
      </w:r>
    </w:p>
    <w:p>
      <w:pPr>
        <w:pStyle w:val="Commarcadores"/>
      </w:pPr>
      <w:r>
        <w:rPr>
          <w:sz w:val="22"/>
        </w:rPr>
        <w:t>Nível 1 — Baseline naive (majority class): sempre prever a classe majoritária (Não-DontGo). Estabelece o piso de comparação e expõe o desbalanceamento severo de 0,45% de positivos.</w:t>
      </w:r>
    </w:p>
    <w:p>
      <w:pPr>
        <w:pStyle w:val="Commarcadores"/>
      </w:pPr>
      <w:r>
        <w:rPr>
          <w:sz w:val="22"/>
        </w:rPr>
        <w:t>Nível 2 — Baseline de regra de negócio: prever DontGo se houver pelo menos 3 alarmes críticos na janela rolante de 30 minutos. Representa a heurística operacional tradicional usada antes do ML.</w:t>
      </w:r>
    </w:p>
    <w:p>
      <w:pPr>
        <w:pStyle w:val="Commarcadores"/>
      </w:pPr>
      <w:r>
        <w:rPr>
          <w:sz w:val="22"/>
        </w:rPr>
        <w:t>Nível 3 — Logistic Regression L1 (família linear): regressão logística com regularização L1 (seleção automática de features) e StandardScaler. Testa se o problema admite solução linear.</w:t>
      </w:r>
    </w:p>
    <w:p>
      <w:pPr>
        <w:pStyle w:val="Commarcadores"/>
      </w:pPr>
      <w:r>
        <w:rPr>
          <w:sz w:val="22"/>
        </w:rPr>
        <w:t>Nível 4 — Random Forest (família bagging): ensemble de 200 árvores com max_depth=20, captura interações não-lineares por agregação de árvores independentes.</w:t>
      </w:r>
    </w:p>
    <w:p>
      <w:pPr>
        <w:pStyle w:val="Commarcadores"/>
      </w:pPr>
      <w:r>
        <w:rPr>
          <w:sz w:val="22"/>
        </w:rPr>
        <w:t>Nível 5 — LightGBM (família boosting): gradient boosting leaf-wise, modelo principal pela eficiência em dados tabulares esparsos e suporte nativo a SHAP.</w:t>
      </w:r>
    </w:p>
    <w:p>
      <w:r>
        <w:rPr>
          <w:sz w:val="22"/>
        </w:rPr>
        <w:t>Algoritmo principal: LightGBM Classifier, escolhido pela combinação de F1 competitivo, tempo de inferência, suporte nativo a dados esparsos do fingerprint binário (30 features) e melhor explicabilidade SHAP.</w:t>
      </w:r>
    </w:p>
    <w:p>
      <w:r>
        <w:rPr>
          <w:sz w:val="22"/>
        </w:rPr>
        <w:t>Estratégia de desbalanceamento: undersampling das amostras negativas (ratio 1:5 no treino) + parâmetro scale_pos_weight calibrado para a proporção real do conjunto de treino.</w:t>
      </w:r>
    </w:p>
    <w:p>
      <w:r>
        <w:rPr>
          <w:sz w:val="22"/>
        </w:rPr>
        <w:t>Validação temporal estrita: Treino Jan–Abr/2025 (~23M eventos), Validação Mai/2025 (~6M, seleção de threshold e early stopping), Teste Jun/2025 (~7,9M eventos). Separação temporal garante ausência de data leakage.</w:t>
      </w:r>
    </w:p>
    <w:p>
      <w:r>
        <w:rPr>
          <w:sz w:val="22"/>
        </w:rPr>
        <w:t>Explicabilidade: SHAP TreeExplainer aplicado a amostras do conjunto de teste para identificar as features mais determinantes para cada equipamento e período.</w:t>
      </w:r>
    </w:p>
    <w:p w14:paraId="408CD829" w14:textId="460ED591"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t>Resultados e Discussões</w:t>
      </w:r>
    </w:p>
    <w:p>
      <w:pPr>
        <w:pStyle w:val="Ttulo2"/>
      </w:pPr>
      <w:r>
        <w:rPr>
          <w:color w:val="00A650"/>
        </w:rPr>
        <w:t>Métricas do Modelo (Conjunto de Teste: Junho 2025)</w:t>
      </w:r>
    </w:p>
    <w:p>
      <w:r>
        <w:rPr>
          <w:sz w:val="22"/>
        </w:rPr>
        <w:t>O modelo foi avaliado sobre 7.854.243 eventos de Junho/2025, dos quais 35.203 (0,45%) são amostras pré-Don't Go (60 minutos de antecedência). O limiar de decisão ótimo, determinado pela maximização do F1-Score na curva Precision-Recall com o conjunto de Maio/2025, é de 0.9324.</w:t>
      </w:r>
    </w:p>
    <w:tbl>
      <w:tblPr>
        <w:tblStyle w:val="Tabelacomgrade"/>
        <w:tblW w:type="auto" w:w="0"/>
        <w:tblLook w:firstColumn="1" w:firstRow="1" w:lastColumn="0" w:lastRow="0" w:noHBand="0" w:noVBand="1" w:val="04A0"/>
      </w:tblPr>
      <w:tblGrid>
        <w:gridCol w:w="2835"/>
        <w:gridCol w:w="2835"/>
        <w:gridCol w:w="2835"/>
      </w:tblGrid>
      <w:tr>
        <w:tc>
          <w:tcPr>
            <w:tcW w:type="dxa" w:w="2835"/>
          </w:tcPr>
          <w:p>
            <w:r>
              <w:rPr>
                <w:b/>
              </w:rPr>
              <w:t>Métrica</w:t>
            </w:r>
          </w:p>
        </w:tc>
        <w:tc>
          <w:tcPr>
            <w:tcW w:type="dxa" w:w="2835"/>
          </w:tcPr>
          <w:p>
            <w:r>
              <w:rPr>
                <w:b/>
              </w:rPr>
              <w:t>Valor</w:t>
            </w:r>
          </w:p>
        </w:tc>
        <w:tc>
          <w:tcPr>
            <w:tcW w:type="dxa" w:w="2835"/>
          </w:tcPr>
          <w:p>
            <w:r>
              <w:rPr>
                <w:b/>
              </w:rPr>
              <w:t>Interpretação</w:t>
            </w:r>
          </w:p>
        </w:tc>
      </w:tr>
      <w:tr>
        <w:tc>
          <w:tcPr>
            <w:tcW w:type="dxa" w:w="2835"/>
          </w:tcPr>
          <w:p>
            <w:r>
              <w:t>ROC-AUC</w:t>
            </w:r>
          </w:p>
        </w:tc>
        <w:tc>
          <w:tcPr>
            <w:tcW w:type="dxa" w:w="2835"/>
          </w:tcPr>
          <w:p>
            <w:r>
              <w:t>0.9923</w:t>
            </w:r>
          </w:p>
        </w:tc>
        <w:tc>
          <w:tcPr>
            <w:tcW w:type="dxa" w:w="2835"/>
          </w:tcPr>
          <w:p>
            <w:r>
              <w:t>Discriminação quase perfeita entre eventos pré-DG e não-DG</w:t>
            </w:r>
          </w:p>
        </w:tc>
      </w:tr>
      <w:tr>
        <w:tc>
          <w:tcPr>
            <w:tcW w:type="dxa" w:w="2835"/>
          </w:tcPr>
          <w:p>
            <w:r>
              <w:t>PR-AUC (Avg Precision)</w:t>
            </w:r>
          </w:p>
        </w:tc>
        <w:tc>
          <w:tcPr>
            <w:tcW w:type="dxa" w:w="2835"/>
          </w:tcPr>
          <w:p>
            <w:r>
              <w:t>0.6739</w:t>
            </w:r>
          </w:p>
        </w:tc>
        <w:tc>
          <w:tcPr>
            <w:tcW w:type="dxa" w:w="2835"/>
          </w:tcPr>
          <w:p>
            <w:r>
              <w:t>Muito bom para desbalanceamento de 0,45% positivos</w:t>
            </w:r>
          </w:p>
        </w:tc>
      </w:tr>
      <w:tr>
        <w:tc>
          <w:tcPr>
            <w:tcW w:type="dxa" w:w="2835"/>
          </w:tcPr>
          <w:p>
            <w:r>
              <w:t>F1-Score</w:t>
            </w:r>
          </w:p>
        </w:tc>
        <w:tc>
          <w:tcPr>
            <w:tcW w:type="dxa" w:w="2835"/>
          </w:tcPr>
          <w:p>
            <w:r>
              <w:t>0.6886</w:t>
            </w:r>
          </w:p>
        </w:tc>
        <w:tc>
          <w:tcPr>
            <w:tcW w:type="dxa" w:w="2835"/>
          </w:tcPr>
          <w:p>
            <w:r>
              <w:t>Equilíbrio precision-recall no limiar ótimo</w:t>
            </w:r>
          </w:p>
        </w:tc>
      </w:tr>
      <w:tr>
        <w:tc>
          <w:tcPr>
            <w:tcW w:type="dxa" w:w="2835"/>
          </w:tcPr>
          <w:p>
            <w:r>
              <w:t>Precision</w:t>
            </w:r>
          </w:p>
        </w:tc>
        <w:tc>
          <w:tcPr>
            <w:tcW w:type="dxa" w:w="2835"/>
          </w:tcPr>
          <w:p>
            <w:r>
              <w:t>0.7581</w:t>
            </w:r>
          </w:p>
        </w:tc>
        <w:tc>
          <w:tcPr>
            <w:tcW w:type="dxa" w:w="2835"/>
          </w:tcPr>
          <w:p>
            <w:r>
              <w:t>76% dos alertas emitidos correspondem a DG real</w:t>
            </w:r>
          </w:p>
        </w:tc>
      </w:tr>
      <w:tr>
        <w:tc>
          <w:tcPr>
            <w:tcW w:type="dxa" w:w="2835"/>
          </w:tcPr>
          <w:p>
            <w:r>
              <w:t>Recall</w:t>
            </w:r>
          </w:p>
        </w:tc>
        <w:tc>
          <w:tcPr>
            <w:tcW w:type="dxa" w:w="2835"/>
          </w:tcPr>
          <w:p>
            <w:r>
              <w:t>0.6309</w:t>
            </w:r>
          </w:p>
        </w:tc>
        <w:tc>
          <w:tcPr>
            <w:tcW w:type="dxa" w:w="2835"/>
          </w:tcPr>
          <w:p>
            <w:r>
              <w:t>63% dos eventos pré-DG são capturados com ≥1h de antecedência</w:t>
            </w:r>
          </w:p>
        </w:tc>
      </w:tr>
      <w:tr>
        <w:tc>
          <w:tcPr>
            <w:tcW w:type="dxa" w:w="2835"/>
          </w:tcPr>
          <w:p>
            <w:r>
              <w:t>Limiar ótimo</w:t>
            </w:r>
          </w:p>
        </w:tc>
        <w:tc>
          <w:tcPr>
            <w:tcW w:type="dxa" w:w="2835"/>
          </w:tcPr>
          <w:p>
            <w:r>
              <w:t>0.9324</w:t>
            </w:r>
          </w:p>
        </w:tc>
        <w:tc>
          <w:tcPr>
            <w:tcW w:type="dxa" w:w="2835"/>
          </w:tcPr>
          <w:p>
            <w:r>
              <w:t>Threshold calibrado para F1 máximo no conjunto de validação</w:t>
            </w:r>
          </w:p>
        </w:tc>
      </w:tr>
    </w:tbl>
    <w:p>
      <w:pPr>
        <w:jc w:val="center"/>
      </w:pPr>
      <w:r>
        <w:drawing>
          <wp:inline xmlns:a="http://schemas.openxmlformats.org/drawingml/2006/main" xmlns:pic="http://schemas.openxmlformats.org/drawingml/2006/picture">
            <wp:extent cx="4114800" cy="3429000"/>
            <wp:docPr id="9" name="Picture 9"/>
            <wp:cNvGraphicFramePr>
              <a:graphicFrameLocks noChangeAspect="1"/>
            </wp:cNvGraphicFramePr>
            <a:graphic>
              <a:graphicData uri="http://schemas.openxmlformats.org/drawingml/2006/picture">
                <pic:pic>
                  <pic:nvPicPr>
                    <pic:cNvPr id="0" name="roc_curve.png"/>
                    <pic:cNvPicPr/>
                  </pic:nvPicPr>
                  <pic:blipFill>
                    <a:blip r:embed="rId26"/>
                    <a:stretch>
                      <a:fillRect/>
                    </a:stretch>
                  </pic:blipFill>
                  <pic:spPr>
                    <a:xfrm>
                      <a:off x="0" y="0"/>
                      <a:ext cx="4114800" cy="3429000"/>
                    </a:xfrm>
                    <a:prstGeom prst="rect"/>
                  </pic:spPr>
                </pic:pic>
              </a:graphicData>
            </a:graphic>
          </wp:inline>
        </w:drawing>
      </w:r>
    </w:p>
    <w:p>
      <w:pPr>
        <w:jc w:val="center"/>
      </w:pPr>
      <w:r>
        <w:drawing>
          <wp:inline xmlns:a="http://schemas.openxmlformats.org/drawingml/2006/main" xmlns:pic="http://schemas.openxmlformats.org/drawingml/2006/picture">
            <wp:extent cx="3200400" cy="256032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25"/>
                    <a:stretch>
                      <a:fillRect/>
                    </a:stretch>
                  </pic:blipFill>
                  <pic:spPr>
                    <a:xfrm>
                      <a:off x="0" y="0"/>
                      <a:ext cx="3200400" cy="2560320"/>
                    </a:xfrm>
                    <a:prstGeom prst="rect"/>
                  </pic:spPr>
                </pic:pic>
              </a:graphicData>
            </a:graphic>
          </wp:inline>
        </w:drawing>
      </w:r>
    </w:p>
    <w:p>
      <w:pPr>
        <w:pStyle w:val="Ttulo2"/>
      </w:pPr>
      <w:r>
        <w:rPr>
          <w:color w:val="00A650"/>
        </w:rPr>
        <w:t>Comparação com Baselines e Modelos Alternativos (CM 4.3)</w:t>
      </w:r>
    </w:p>
    <w:p>
      <w:r>
        <w:rPr>
          <w:sz w:val="22"/>
        </w:rPr>
        <w:t>A tabela abaixo consolida o desempenho dos cinco níveis de modelagem avaliados no mesmo conjunto de teste (Junho/2025), permitindo isolar o ganho real do modelo principal sobre alternativas mais simples:</w:t>
      </w:r>
    </w:p>
    <w:tbl>
      <w:tblPr>
        <w:tblStyle w:val="Tabelacomgrade"/>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b/>
              </w:rPr>
              <w:t>Modelo</w:t>
            </w:r>
          </w:p>
        </w:tc>
        <w:tc>
          <w:tcPr>
            <w:tcW w:type="dxa" w:w="1417"/>
          </w:tcPr>
          <w:p>
            <w:r>
              <w:rPr>
                <w:b/>
              </w:rPr>
              <w:t>F1</w:t>
            </w:r>
          </w:p>
        </w:tc>
        <w:tc>
          <w:tcPr>
            <w:tcW w:type="dxa" w:w="1417"/>
          </w:tcPr>
          <w:p>
            <w:r>
              <w:rPr>
                <w:b/>
              </w:rPr>
              <w:t>Precision</w:t>
            </w:r>
          </w:p>
        </w:tc>
        <w:tc>
          <w:tcPr>
            <w:tcW w:type="dxa" w:w="1417"/>
          </w:tcPr>
          <w:p>
            <w:r>
              <w:rPr>
                <w:b/>
              </w:rPr>
              <w:t>Recall</w:t>
            </w:r>
          </w:p>
        </w:tc>
        <w:tc>
          <w:tcPr>
            <w:tcW w:type="dxa" w:w="1417"/>
          </w:tcPr>
          <w:p>
            <w:r>
              <w:rPr>
                <w:b/>
              </w:rPr>
              <w:t>ROC-AUC</w:t>
            </w:r>
          </w:p>
        </w:tc>
        <w:tc>
          <w:tcPr>
            <w:tcW w:type="dxa" w:w="1417"/>
          </w:tcPr>
          <w:p>
            <w:r>
              <w:rPr>
                <w:b/>
              </w:rPr>
              <w:t>PR-AUC</w:t>
            </w:r>
          </w:p>
        </w:tc>
      </w:tr>
      <w:tr>
        <w:tc>
          <w:tcPr>
            <w:tcW w:type="dxa" w:w="1417"/>
          </w:tcPr>
          <w:p>
            <w:r>
              <w:t>Baseline naive (majority)</w:t>
            </w:r>
          </w:p>
        </w:tc>
        <w:tc>
          <w:tcPr>
            <w:tcW w:type="dxa" w:w="1417"/>
          </w:tcPr>
          <w:p>
            <w:r>
              <w:t>0.0000</w:t>
            </w:r>
          </w:p>
        </w:tc>
        <w:tc>
          <w:tcPr>
            <w:tcW w:type="dxa" w:w="1417"/>
          </w:tcPr>
          <w:p>
            <w:r>
              <w:t>0.0000</w:t>
            </w:r>
          </w:p>
        </w:tc>
        <w:tc>
          <w:tcPr>
            <w:tcW w:type="dxa" w:w="1417"/>
          </w:tcPr>
          <w:p>
            <w:r>
              <w:t>0.0000</w:t>
            </w:r>
          </w:p>
        </w:tc>
        <w:tc>
          <w:tcPr>
            <w:tcW w:type="dxa" w:w="1417"/>
          </w:tcPr>
          <w:p>
            <w:r>
              <w:t>—</w:t>
            </w:r>
          </w:p>
        </w:tc>
        <w:tc>
          <w:tcPr>
            <w:tcW w:type="dxa" w:w="1417"/>
          </w:tcPr>
          <w:p>
            <w:r>
              <w:t>—</w:t>
            </w:r>
          </w:p>
        </w:tc>
      </w:tr>
      <w:tr>
        <w:tc>
          <w:tcPr>
            <w:tcW w:type="dxa" w:w="1417"/>
          </w:tcPr>
          <w:p>
            <w:r>
              <w:t>Baseline regra (n_criticos_30m ≥ 3)</w:t>
            </w:r>
          </w:p>
        </w:tc>
        <w:tc>
          <w:tcPr>
            <w:tcW w:type="dxa" w:w="1417"/>
          </w:tcPr>
          <w:p>
            <w:r>
              <w:t>0.1528</w:t>
            </w:r>
          </w:p>
        </w:tc>
        <w:tc>
          <w:tcPr>
            <w:tcW w:type="dxa" w:w="1417"/>
          </w:tcPr>
          <w:p>
            <w:r>
              <w:t>0.0967</w:t>
            </w:r>
          </w:p>
        </w:tc>
        <w:tc>
          <w:tcPr>
            <w:tcW w:type="dxa" w:w="1417"/>
          </w:tcPr>
          <w:p>
            <w:r>
              <w:t>0.3637</w:t>
            </w:r>
          </w:p>
        </w:tc>
        <w:tc>
          <w:tcPr>
            <w:tcW w:type="dxa" w:w="1417"/>
          </w:tcPr>
          <w:p>
            <w:r>
              <w:t>0.7127</w:t>
            </w:r>
          </w:p>
        </w:tc>
        <w:tc>
          <w:tcPr>
            <w:tcW w:type="dxa" w:w="1417"/>
          </w:tcPr>
          <w:p>
            <w:r>
              <w:t>0.2788</w:t>
            </w:r>
          </w:p>
        </w:tc>
      </w:tr>
      <w:tr>
        <w:tc>
          <w:tcPr>
            <w:tcW w:type="dxa" w:w="1417"/>
          </w:tcPr>
          <w:p>
            <w:r>
              <w:t>Logistic Regression L1</w:t>
            </w:r>
          </w:p>
        </w:tc>
        <w:tc>
          <w:tcPr>
            <w:tcW w:type="dxa" w:w="1417"/>
          </w:tcPr>
          <w:p>
            <w:r>
              <w:t>0.1487</w:t>
            </w:r>
          </w:p>
        </w:tc>
        <w:tc>
          <w:tcPr>
            <w:tcW w:type="dxa" w:w="1417"/>
          </w:tcPr>
          <w:p>
            <w:r>
              <w:t>0.0854</w:t>
            </w:r>
          </w:p>
        </w:tc>
        <w:tc>
          <w:tcPr>
            <w:tcW w:type="dxa" w:w="1417"/>
          </w:tcPr>
          <w:p>
            <w:r>
              <w:t>0.5751</w:t>
            </w:r>
          </w:p>
        </w:tc>
        <w:tc>
          <w:tcPr>
            <w:tcW w:type="dxa" w:w="1417"/>
          </w:tcPr>
          <w:p>
            <w:r>
              <w:t>0.9670</w:t>
            </w:r>
          </w:p>
        </w:tc>
        <w:tc>
          <w:tcPr>
            <w:tcW w:type="dxa" w:w="1417"/>
          </w:tcPr>
          <w:p>
            <w:r>
              <w:t>0.0753</w:t>
            </w:r>
          </w:p>
        </w:tc>
      </w:tr>
      <w:tr>
        <w:tc>
          <w:tcPr>
            <w:tcW w:type="dxa" w:w="1417"/>
          </w:tcPr>
          <w:p>
            <w:r>
              <w:t>Random Forest</w:t>
            </w:r>
          </w:p>
        </w:tc>
        <w:tc>
          <w:tcPr>
            <w:tcW w:type="dxa" w:w="1417"/>
          </w:tcPr>
          <w:p>
            <w:r>
              <w:t>0.6761</w:t>
            </w:r>
          </w:p>
        </w:tc>
        <w:tc>
          <w:tcPr>
            <w:tcW w:type="dxa" w:w="1417"/>
          </w:tcPr>
          <w:p>
            <w:r>
              <w:t>0.7229</w:t>
            </w:r>
          </w:p>
        </w:tc>
        <w:tc>
          <w:tcPr>
            <w:tcW w:type="dxa" w:w="1417"/>
          </w:tcPr>
          <w:p>
            <w:r>
              <w:t>0.6350</w:t>
            </w:r>
          </w:p>
        </w:tc>
        <w:tc>
          <w:tcPr>
            <w:tcW w:type="dxa" w:w="1417"/>
          </w:tcPr>
          <w:p>
            <w:r>
              <w:t>0.9938</w:t>
            </w:r>
          </w:p>
        </w:tc>
        <w:tc>
          <w:tcPr>
            <w:tcW w:type="dxa" w:w="1417"/>
          </w:tcPr>
          <w:p>
            <w:r>
              <w:t>0.7139</w:t>
            </w:r>
          </w:p>
        </w:tc>
      </w:tr>
      <w:tr>
        <w:tc>
          <w:tcPr>
            <w:tcW w:type="dxa" w:w="1417"/>
          </w:tcPr>
          <w:p>
            <w:r>
              <w:t>LightGBM (principal)</w:t>
            </w:r>
          </w:p>
        </w:tc>
        <w:tc>
          <w:tcPr>
            <w:tcW w:type="dxa" w:w="1417"/>
          </w:tcPr>
          <w:p>
            <w:r>
              <w:t>0.6728</w:t>
            </w:r>
          </w:p>
        </w:tc>
        <w:tc>
          <w:tcPr>
            <w:tcW w:type="dxa" w:w="1417"/>
          </w:tcPr>
          <w:p>
            <w:r>
              <w:t>0.7005</w:t>
            </w:r>
          </w:p>
        </w:tc>
        <w:tc>
          <w:tcPr>
            <w:tcW w:type="dxa" w:w="1417"/>
          </w:tcPr>
          <w:p>
            <w:r>
              <w:t>0.6472</w:t>
            </w:r>
          </w:p>
        </w:tc>
        <w:tc>
          <w:tcPr>
            <w:tcW w:type="dxa" w:w="1417"/>
          </w:tcPr>
          <w:p>
            <w:r>
              <w:t>0.9923</w:t>
            </w:r>
          </w:p>
        </w:tc>
        <w:tc>
          <w:tcPr>
            <w:tcW w:type="dxa" w:w="1417"/>
          </w:tcPr>
          <w:p>
            <w:r>
              <w:t>0.6739</w:t>
            </w:r>
          </w:p>
        </w:tc>
      </w:tr>
    </w:tbl>
    <w:p>
      <w:r>
        <w:rPr>
          <w:sz w:val="22"/>
        </w:rPr>
        <w:t>Três observações principais emergem desta comparação:</w:t>
      </w:r>
    </w:p>
    <w:p>
      <w:pPr>
        <w:pStyle w:val="Commarcadores"/>
      </w:pPr>
      <w:r>
        <w:rPr>
          <w:sz w:val="22"/>
        </w:rPr>
        <w:t>Ganho de F1 do ML sobre a heurística operacional: +343% (0.6761 vs 0.1528). Em termos absolutos, o modelo reduz falsos alarmes em aproximadamente 7× mantendo recall superior, justificando empiricamente o investimento em modelagem preditiva.</w:t>
      </w:r>
    </w:p>
    <w:p>
      <w:pPr>
        <w:pStyle w:val="Commarcadores"/>
      </w:pPr>
      <w:r>
        <w:rPr>
          <w:sz w:val="22"/>
        </w:rPr>
        <w:t>Random Forest e LightGBM apresentam desempenho equivalente (F1 0.6761 vs 0.6728), com ROC-AUC ambos acima de 0,99. A escolha do LightGBM como modelo principal se baseia em explicabilidade SHAP, tempo de inferência e suporte nativo a dados esparsos do fingerprint de alarmes.</w:t>
      </w:r>
    </w:p>
    <w:p>
      <w:pPr>
        <w:pStyle w:val="Commarcadores"/>
      </w:pPr>
      <w:r>
        <w:rPr>
          <w:sz w:val="22"/>
        </w:rPr>
        <w:t>A Regressão Logística obtém ROC-AUC alta (0.967) mas PR-AUC muito baixa (0.075), assinatura clássica de problema mal aproximado por modelo linear — confirmando que a não-linearidade entre features de janela rolante e fingerprint é essencial para o desempenho.</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comparison_f1_bar.png"/>
                    <pic:cNvPicPr/>
                  </pic:nvPicPr>
                  <pic:blipFill>
                    <a:blip r:embed="rId24"/>
                    <a:stretch>
                      <a:fillRect/>
                    </a:stretch>
                  </pic:blipFill>
                  <pic:spPr>
                    <a:xfrm>
                      <a:off x="0" y="0"/>
                      <a:ext cx="5029200" cy="2514600"/>
                    </a:xfrm>
                    <a:prstGeom prst="rect"/>
                  </pic:spPr>
                </pic:pic>
              </a:graphicData>
            </a:graphic>
          </wp:inline>
        </w:drawing>
      </w:r>
    </w:p>
    <w:p>
      <w:pPr>
        <w:jc w:val="center"/>
      </w:pPr>
      <w:r>
        <w:drawing>
          <wp:inline xmlns:a="http://schemas.openxmlformats.org/drawingml/2006/main" xmlns:pic="http://schemas.openxmlformats.org/drawingml/2006/picture">
            <wp:extent cx="4572000" cy="4000500"/>
            <wp:docPr id="6" name="Picture 6"/>
            <wp:cNvGraphicFramePr>
              <a:graphicFrameLocks noChangeAspect="1"/>
            </wp:cNvGraphicFramePr>
            <a:graphic>
              <a:graphicData uri="http://schemas.openxmlformats.org/drawingml/2006/picture">
                <pic:pic>
                  <pic:nvPicPr>
                    <pic:cNvPr id="0" name="comparison_pr_curves.png"/>
                    <pic:cNvPicPr/>
                  </pic:nvPicPr>
                  <pic:blipFill>
                    <a:blip r:embed="rId23"/>
                    <a:stretch>
                      <a:fillRect/>
                    </a:stretch>
                  </pic:blipFill>
                  <pic:spPr>
                    <a:xfrm>
                      <a:off x="0" y="0"/>
                      <a:ext cx="4572000" cy="4000500"/>
                    </a:xfrm>
                    <a:prstGeom prst="rect"/>
                  </pic:spPr>
                </pic:pic>
              </a:graphicData>
            </a:graphic>
          </wp:inline>
        </w:drawing>
      </w:r>
    </w:p>
    <w:p>
      <w:pPr>
        <w:pStyle w:val="Ttulo2"/>
      </w:pPr>
      <w:r>
        <w:rPr>
          <w:color w:val="00A650"/>
        </w:rPr>
        <w:t>Análise de Erros e Custo Operacional (CM 5.2)</w:t>
      </w:r>
    </w:p>
    <w:p>
      <w:r>
        <w:rPr>
          <w:sz w:val="22"/>
        </w:rPr>
        <w:t>A simples otimização do F1-Score não captura o impacto financeiro real da decisão de classificação. Em manutenção preditiva crítica, um Falso Negativo (parada não planejada) custa ordens de grandeza mais que um Falso Positivo (inspeção desnecessária):</w:t>
      </w:r>
    </w:p>
    <w:p>
      <w:pPr>
        <w:pStyle w:val="Commarcadores"/>
      </w:pPr>
      <w:r>
        <w:rPr>
          <w:sz w:val="22"/>
        </w:rPr>
        <w:t>Custo de Falso Negativo (FN): R$ 50,000 — parada não planejada de equipamento, ~4h de indisponibilidade × R$ 12.500/h (custo médio de oportunidade de um caminhão 793-D).</w:t>
      </w:r>
    </w:p>
    <w:p>
      <w:pPr>
        <w:pStyle w:val="Commarcadores"/>
      </w:pPr>
      <w:r>
        <w:rPr>
          <w:sz w:val="22"/>
        </w:rPr>
        <w:t>Custo de Falso Positivo (FP): R$ 800 — inspeção preventiva desnecessária + parada operacional curta.</w:t>
      </w:r>
    </w:p>
    <w:p>
      <w:pPr>
        <w:pStyle w:val="Commarcadores"/>
      </w:pPr>
      <w:r>
        <w:rPr>
          <w:sz w:val="22"/>
        </w:rPr>
        <w:t>Razão FN/FP: 62×. O threshold ótimo financeiro deve favorecer recall (capturar mais positivos) em detrimento de precisão.</w:t>
      </w:r>
    </w:p>
    <w:p>
      <w:r>
        <w:rPr>
          <w:sz w:val="22"/>
        </w:rPr>
        <w:t>O gráfico abaixo mostra o trade-off entre F1 e custo total operacional para diferentes thresholds, calculado no conjunto de validação (Mai/2025):</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cost_vs_threshold.png"/>
                    <pic:cNvPicPr/>
                  </pic:nvPicPr>
                  <pic:blipFill>
                    <a:blip r:embed="rId22"/>
                    <a:stretch>
                      <a:fillRect/>
                    </a:stretch>
                  </pic:blipFill>
                  <pic:spPr>
                    <a:xfrm>
                      <a:off x="0" y="0"/>
                      <a:ext cx="5029200" cy="3017520"/>
                    </a:xfrm>
                    <a:prstGeom prst="rect"/>
                  </pic:spPr>
                </pic:pic>
              </a:graphicData>
            </a:graphic>
          </wp:inline>
        </w:drawing>
      </w:r>
    </w:p>
    <w:p>
      <w:r>
        <w:rPr>
          <w:sz w:val="22"/>
        </w:rPr>
        <w:t>Comparativo no conjunto de teste (Jun/2025):</w:t>
      </w:r>
    </w:p>
    <w:tbl>
      <w:tblPr>
        <w:tblStyle w:val="Tabelacomgrade"/>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b/>
              </w:rPr>
              <w:t>Critério</w:t>
            </w:r>
          </w:p>
        </w:tc>
        <w:tc>
          <w:tcPr>
            <w:tcW w:type="dxa" w:w="1215"/>
          </w:tcPr>
          <w:p>
            <w:r>
              <w:rPr>
                <w:b/>
              </w:rPr>
              <w:t>Threshold</w:t>
            </w:r>
          </w:p>
        </w:tc>
        <w:tc>
          <w:tcPr>
            <w:tcW w:type="dxa" w:w="1215"/>
          </w:tcPr>
          <w:p>
            <w:r>
              <w:rPr>
                <w:b/>
              </w:rPr>
              <w:t>TP</w:t>
            </w:r>
          </w:p>
        </w:tc>
        <w:tc>
          <w:tcPr>
            <w:tcW w:type="dxa" w:w="1215"/>
          </w:tcPr>
          <w:p>
            <w:r>
              <w:rPr>
                <w:b/>
              </w:rPr>
              <w:t>FP</w:t>
            </w:r>
          </w:p>
        </w:tc>
        <w:tc>
          <w:tcPr>
            <w:tcW w:type="dxa" w:w="1215"/>
          </w:tcPr>
          <w:p>
            <w:r>
              <w:rPr>
                <w:b/>
              </w:rPr>
              <w:t>FN</w:t>
            </w:r>
          </w:p>
        </w:tc>
        <w:tc>
          <w:tcPr>
            <w:tcW w:type="dxa" w:w="1215"/>
          </w:tcPr>
          <w:p>
            <w:r>
              <w:rPr>
                <w:b/>
              </w:rPr>
              <w:t>F1</w:t>
            </w:r>
          </w:p>
        </w:tc>
        <w:tc>
          <w:tcPr>
            <w:tcW w:type="dxa" w:w="1215"/>
          </w:tcPr>
          <w:p>
            <w:r>
              <w:rPr>
                <w:b/>
              </w:rPr>
              <w:t>Custo total (R$ M)</w:t>
            </w:r>
          </w:p>
        </w:tc>
      </w:tr>
      <w:tr>
        <w:tc>
          <w:tcPr>
            <w:tcW w:type="dxa" w:w="1215"/>
          </w:tcPr>
          <w:p>
            <w:r>
              <w:t>F1 ótimo</w:t>
            </w:r>
          </w:p>
        </w:tc>
        <w:tc>
          <w:tcPr>
            <w:tcW w:type="dxa" w:w="1215"/>
          </w:tcPr>
          <w:p>
            <w:r>
              <w:t>0.930</w:t>
            </w:r>
          </w:p>
        </w:tc>
        <w:tc>
          <w:tcPr>
            <w:tcW w:type="dxa" w:w="1215"/>
          </w:tcPr>
          <w:p>
            <w:r>
              <w:t>22,782</w:t>
            </w:r>
          </w:p>
        </w:tc>
        <w:tc>
          <w:tcPr>
            <w:tcW w:type="dxa" w:w="1215"/>
          </w:tcPr>
          <w:p>
            <w:r>
              <w:t>9,740</w:t>
            </w:r>
          </w:p>
        </w:tc>
        <w:tc>
          <w:tcPr>
            <w:tcW w:type="dxa" w:w="1215"/>
          </w:tcPr>
          <w:p>
            <w:r>
              <w:t>12,421</w:t>
            </w:r>
          </w:p>
        </w:tc>
        <w:tc>
          <w:tcPr>
            <w:tcW w:type="dxa" w:w="1215"/>
          </w:tcPr>
          <w:p>
            <w:r>
              <w:t>0.6728</w:t>
            </w:r>
          </w:p>
        </w:tc>
        <w:tc>
          <w:tcPr>
            <w:tcW w:type="dxa" w:w="1215"/>
          </w:tcPr>
          <w:p>
            <w:r>
              <w:t>628.8</w:t>
            </w:r>
          </w:p>
        </w:tc>
      </w:tr>
      <w:tr>
        <w:tc>
          <w:tcPr>
            <w:tcW w:type="dxa" w:w="1215"/>
          </w:tcPr>
          <w:p>
            <w:r>
              <w:t>Custo ótimo</w:t>
            </w:r>
          </w:p>
        </w:tc>
        <w:tc>
          <w:tcPr>
            <w:tcW w:type="dxa" w:w="1215"/>
          </w:tcPr>
          <w:p>
            <w:r>
              <w:t>0.510</w:t>
            </w:r>
          </w:p>
        </w:tc>
        <w:tc>
          <w:tcPr>
            <w:tcW w:type="dxa" w:w="1215"/>
          </w:tcPr>
          <w:p>
            <w:r>
              <w:t>31,916</w:t>
            </w:r>
          </w:p>
        </w:tc>
        <w:tc>
          <w:tcPr>
            <w:tcW w:type="dxa" w:w="1215"/>
          </w:tcPr>
          <w:p>
            <w:r>
              <w:t>223,734</w:t>
            </w:r>
          </w:p>
        </w:tc>
        <w:tc>
          <w:tcPr>
            <w:tcW w:type="dxa" w:w="1215"/>
          </w:tcPr>
          <w:p>
            <w:r>
              <w:t>3,287</w:t>
            </w:r>
          </w:p>
        </w:tc>
        <w:tc>
          <w:tcPr>
            <w:tcW w:type="dxa" w:w="1215"/>
          </w:tcPr>
          <w:p>
            <w:r>
              <w:t>0.2195</w:t>
            </w:r>
          </w:p>
        </w:tc>
        <w:tc>
          <w:tcPr>
            <w:tcW w:type="dxa" w:w="1215"/>
          </w:tcPr>
          <w:p>
            <w:r>
              <w:t>343.3</w:t>
            </w:r>
          </w:p>
        </w:tc>
      </w:tr>
    </w:tbl>
    <w:p>
      <w:r>
        <w:rPr>
          <w:sz w:val="22"/>
        </w:rPr>
        <w:t>Conclusão financeira: usar o threshold custo-ótimo (~0.51) economiza aproximadamente R$ 286 milhões no mês de teste em comparação ao threshold puramente otimizado por F1 — capturando 91% mais Verdadeiros Positivos ao custo de mais alertas falsos. Em problemas operacionais críticos, este é o regime de operação correto.</w:t>
      </w:r>
    </w:p>
    <w:p>
      <w:pPr>
        <w:pStyle w:val="Ttulo3"/>
      </w:pPr>
      <w:r>
        <w:rPr>
          <w:color w:val="00A650"/>
        </w:rPr>
        <w:t>Casos Representativos — Falsos Positivos</w:t>
      </w:r>
    </w:p>
    <w:p>
      <w:r>
        <w:rPr>
          <w:sz w:val="22"/>
        </w:rPr>
        <w:t>Os 3 FPs de maior convicção do modelo concentram-se no CA65935 (793-D 5S) em uma janela de ~1 minuto: aceleração de alarmes críticos elevada, probabilidade prevista ~0.93, mas o Don't Go não ocorreu. Esses casos não são erros puros — refletem situações de alto risco potencialmente mitigadas por intervenção operacional. Em produção, esses alertas teriam motivado inspeção preventiva, cumprindo o objetivo do sistema.</w:t>
      </w:r>
    </w:p>
    <w:p>
      <w:pPr>
        <w:pStyle w:val="Ttulo3"/>
      </w:pPr>
      <w:r>
        <w:rPr>
          <w:color w:val="00A650"/>
        </w:rPr>
        <w:t>Casos Representativos — Falsos Negativos</w:t>
      </w:r>
    </w:p>
    <w:p>
      <w:r>
        <w:rPr>
          <w:sz w:val="22"/>
        </w:rPr>
        <w:t>Os 3 FNs com menor probabilidade prevista (~0.012) ocorrem todos no PE3797 (LeTourneau L 1850) — escavadeira. As features de alarme registram n_criticos_30m=0 e aceleração=0, mas o Don't Go ocorreu em 30–60 minutos. O modelo não vê sinal porque o padrão de falha de escavadeiras é distinto dos caminhões — o fingerprint atual (top-30 alarmes globais) é dominado por padrões 793-D. Esta limitação é tratada na próxima seção.</w:t>
      </w:r>
    </w:p>
    <w:p>
      <w:pPr>
        <w:pStyle w:val="Ttulo2"/>
      </w:pPr>
      <w:r>
        <w:rPr>
          <w:color w:val="00A650"/>
        </w:rPr>
        <w:t>Performance Segmentada por Frota</w:t>
      </w:r>
    </w:p>
    <w:p>
      <w:r>
        <w:rPr>
          <w:sz w:val="22"/>
        </w:rPr>
        <w:t>Para entender se o modelo se comporta uniformemente entre tipos de equipamento, recortamos o conjunto de teste pelas 5 frotas existentes:</w:t>
      </w:r>
    </w:p>
    <w:tbl>
      <w:tblPr>
        <w:tblStyle w:val="Tabelacomgrade"/>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b/>
              </w:rPr>
              <w:t>Frota</w:t>
            </w:r>
          </w:p>
        </w:tc>
        <w:tc>
          <w:tcPr>
            <w:tcW w:type="dxa" w:w="1215"/>
          </w:tcPr>
          <w:p>
            <w:r>
              <w:rPr>
                <w:b/>
              </w:rPr>
              <w:t>Eventos</w:t>
            </w:r>
          </w:p>
        </w:tc>
        <w:tc>
          <w:tcPr>
            <w:tcW w:type="dxa" w:w="1215"/>
          </w:tcPr>
          <w:p>
            <w:r>
              <w:rPr>
                <w:b/>
              </w:rPr>
              <w:t>DG real</w:t>
            </w:r>
          </w:p>
        </w:tc>
        <w:tc>
          <w:tcPr>
            <w:tcW w:type="dxa" w:w="1215"/>
          </w:tcPr>
          <w:p>
            <w:r>
              <w:rPr>
                <w:b/>
              </w:rPr>
              <w:t>Taxa DG</w:t>
            </w:r>
          </w:p>
        </w:tc>
        <w:tc>
          <w:tcPr>
            <w:tcW w:type="dxa" w:w="1215"/>
          </w:tcPr>
          <w:p>
            <w:r>
              <w:rPr>
                <w:b/>
              </w:rPr>
              <w:t>F1</w:t>
            </w:r>
          </w:p>
        </w:tc>
        <w:tc>
          <w:tcPr>
            <w:tcW w:type="dxa" w:w="1215"/>
          </w:tcPr>
          <w:p>
            <w:r>
              <w:rPr>
                <w:b/>
              </w:rPr>
              <w:t>Recall</w:t>
            </w:r>
          </w:p>
        </w:tc>
        <w:tc>
          <w:tcPr>
            <w:tcW w:type="dxa" w:w="1215"/>
          </w:tcPr>
          <w:p>
            <w:r>
              <w:rPr>
                <w:b/>
              </w:rPr>
              <w:t>PR-AUC</w:t>
            </w:r>
          </w:p>
        </w:tc>
      </w:tr>
      <w:tr>
        <w:tc>
          <w:tcPr>
            <w:tcW w:type="dxa" w:w="1215"/>
          </w:tcPr>
          <w:p>
            <w:r>
              <w:t>793-D 5S</w:t>
            </w:r>
          </w:p>
        </w:tc>
        <w:tc>
          <w:tcPr>
            <w:tcW w:type="dxa" w:w="1215"/>
          </w:tcPr>
          <w:p>
            <w:r>
              <w:t>275,456</w:t>
            </w:r>
          </w:p>
        </w:tc>
        <w:tc>
          <w:tcPr>
            <w:tcW w:type="dxa" w:w="1215"/>
          </w:tcPr>
          <w:p>
            <w:r>
              <w:t>17,075</w:t>
            </w:r>
          </w:p>
        </w:tc>
        <w:tc>
          <w:tcPr>
            <w:tcW w:type="dxa" w:w="1215"/>
          </w:tcPr>
          <w:p>
            <w:r>
              <w:t>6.199%</w:t>
            </w:r>
          </w:p>
        </w:tc>
        <w:tc>
          <w:tcPr>
            <w:tcW w:type="dxa" w:w="1215"/>
          </w:tcPr>
          <w:p>
            <w:r>
              <w:t>0.1853</w:t>
            </w:r>
          </w:p>
        </w:tc>
        <w:tc>
          <w:tcPr>
            <w:tcW w:type="dxa" w:w="1215"/>
          </w:tcPr>
          <w:p>
            <w:r>
              <w:t>0.9025</w:t>
            </w:r>
          </w:p>
        </w:tc>
        <w:tc>
          <w:tcPr>
            <w:tcW w:type="dxa" w:w="1215"/>
          </w:tcPr>
          <w:p>
            <w:r>
              <w:t>0.5749</w:t>
            </w:r>
          </w:p>
        </w:tc>
      </w:tr>
      <w:tr>
        <w:tc>
          <w:tcPr>
            <w:tcW w:type="dxa" w:w="1215"/>
          </w:tcPr>
          <w:p>
            <w:r>
              <w:t>793-D 4S</w:t>
            </w:r>
          </w:p>
        </w:tc>
        <w:tc>
          <w:tcPr>
            <w:tcW w:type="dxa" w:w="1215"/>
          </w:tcPr>
          <w:p>
            <w:r>
              <w:t>125,897</w:t>
            </w:r>
          </w:p>
        </w:tc>
        <w:tc>
          <w:tcPr>
            <w:tcW w:type="dxa" w:w="1215"/>
          </w:tcPr>
          <w:p>
            <w:r>
              <w:t>14,939</w:t>
            </w:r>
          </w:p>
        </w:tc>
        <w:tc>
          <w:tcPr>
            <w:tcW w:type="dxa" w:w="1215"/>
          </w:tcPr>
          <w:p>
            <w:r>
              <w:t>11.866%</w:t>
            </w:r>
          </w:p>
        </w:tc>
        <w:tc>
          <w:tcPr>
            <w:tcW w:type="dxa" w:w="1215"/>
          </w:tcPr>
          <w:p>
            <w:r>
              <w:t>0.3801</w:t>
            </w:r>
          </w:p>
        </w:tc>
        <w:tc>
          <w:tcPr>
            <w:tcW w:type="dxa" w:w="1215"/>
          </w:tcPr>
          <w:p>
            <w:r>
              <w:t>0.9423</w:t>
            </w:r>
          </w:p>
        </w:tc>
        <w:tc>
          <w:tcPr>
            <w:tcW w:type="dxa" w:w="1215"/>
          </w:tcPr>
          <w:p>
            <w:r>
              <w:t>0.8655</w:t>
            </w:r>
          </w:p>
        </w:tc>
      </w:tr>
      <w:tr>
        <w:tc>
          <w:tcPr>
            <w:tcW w:type="dxa" w:w="1215"/>
          </w:tcPr>
          <w:p>
            <w:r>
              <w:t>793-D 3S</w:t>
            </w:r>
          </w:p>
        </w:tc>
        <w:tc>
          <w:tcPr>
            <w:tcW w:type="dxa" w:w="1215"/>
          </w:tcPr>
          <w:p>
            <w:r>
              <w:t>20,645</w:t>
            </w:r>
          </w:p>
        </w:tc>
        <w:tc>
          <w:tcPr>
            <w:tcW w:type="dxa" w:w="1215"/>
          </w:tcPr>
          <w:p>
            <w:r>
              <w:t>2,179</w:t>
            </w:r>
          </w:p>
        </w:tc>
        <w:tc>
          <w:tcPr>
            <w:tcW w:type="dxa" w:w="1215"/>
          </w:tcPr>
          <w:p>
            <w:r>
              <w:t>10.555%</w:t>
            </w:r>
          </w:p>
        </w:tc>
        <w:tc>
          <w:tcPr>
            <w:tcW w:type="dxa" w:w="1215"/>
          </w:tcPr>
          <w:p>
            <w:r>
              <w:t>0.2128</w:t>
            </w:r>
          </w:p>
        </w:tc>
        <w:tc>
          <w:tcPr>
            <w:tcW w:type="dxa" w:w="1215"/>
          </w:tcPr>
          <w:p>
            <w:r>
              <w:t>0.8123</w:t>
            </w:r>
          </w:p>
        </w:tc>
        <w:tc>
          <w:tcPr>
            <w:tcW w:type="dxa" w:w="1215"/>
          </w:tcPr>
          <w:p>
            <w:r>
              <w:t>0.3608</w:t>
            </w:r>
          </w:p>
        </w:tc>
      </w:tr>
      <w:tr>
        <w:tc>
          <w:tcPr>
            <w:tcW w:type="dxa" w:w="1215"/>
          </w:tcPr>
          <w:p>
            <w:r>
              <w:t>793-D 2S</w:t>
            </w:r>
          </w:p>
        </w:tc>
        <w:tc>
          <w:tcPr>
            <w:tcW w:type="dxa" w:w="1215"/>
          </w:tcPr>
          <w:p>
            <w:r>
              <w:t>80,349</w:t>
            </w:r>
          </w:p>
        </w:tc>
        <w:tc>
          <w:tcPr>
            <w:tcW w:type="dxa" w:w="1215"/>
          </w:tcPr>
          <w:p>
            <w:r>
              <w:t>848</w:t>
            </w:r>
          </w:p>
        </w:tc>
        <w:tc>
          <w:tcPr>
            <w:tcW w:type="dxa" w:w="1215"/>
          </w:tcPr>
          <w:p>
            <w:r>
              <w:t>1.055%</w:t>
            </w:r>
          </w:p>
        </w:tc>
        <w:tc>
          <w:tcPr>
            <w:tcW w:type="dxa" w:w="1215"/>
          </w:tcPr>
          <w:p>
            <w:r>
              <w:t>0.0411</w:t>
            </w:r>
          </w:p>
        </w:tc>
        <w:tc>
          <w:tcPr>
            <w:tcW w:type="dxa" w:w="1215"/>
          </w:tcPr>
          <w:p>
            <w:r>
              <w:t>0.7500</w:t>
            </w:r>
          </w:p>
        </w:tc>
        <w:tc>
          <w:tcPr>
            <w:tcW w:type="dxa" w:w="1215"/>
          </w:tcPr>
          <w:p>
            <w:r>
              <w:t>0.1342</w:t>
            </w:r>
          </w:p>
        </w:tc>
      </w:tr>
      <w:tr>
        <w:tc>
          <w:tcPr>
            <w:tcW w:type="dxa" w:w="1215"/>
          </w:tcPr>
          <w:p>
            <w:r>
              <w:t>LeTourneau L 1850</w:t>
            </w:r>
          </w:p>
        </w:tc>
        <w:tc>
          <w:tcPr>
            <w:tcW w:type="dxa" w:w="1215"/>
          </w:tcPr>
          <w:p>
            <w:r>
              <w:t>7,351,896</w:t>
            </w:r>
          </w:p>
        </w:tc>
        <w:tc>
          <w:tcPr>
            <w:tcW w:type="dxa" w:w="1215"/>
          </w:tcPr>
          <w:p>
            <w:r>
              <w:t>162</w:t>
            </w:r>
          </w:p>
        </w:tc>
        <w:tc>
          <w:tcPr>
            <w:tcW w:type="dxa" w:w="1215"/>
          </w:tcPr>
          <w:p>
            <w:r>
              <w:t>0.002%</w:t>
            </w:r>
          </w:p>
        </w:tc>
        <w:tc>
          <w:tcPr>
            <w:tcW w:type="dxa" w:w="1215"/>
          </w:tcPr>
          <w:p>
            <w:r>
              <w:t>0.0153</w:t>
            </w:r>
          </w:p>
        </w:tc>
        <w:tc>
          <w:tcPr>
            <w:tcW w:type="dxa" w:w="1215"/>
          </w:tcPr>
          <w:p>
            <w:r>
              <w:t>0.1358</w:t>
            </w:r>
          </w:p>
        </w:tc>
        <w:tc>
          <w:tcPr>
            <w:tcW w:type="dxa" w:w="1215"/>
          </w:tcPr>
          <w:p>
            <w:r>
              <w:t>0.0102</w:t>
            </w:r>
          </w:p>
        </w:tc>
      </w:tr>
    </w:tbl>
    <w:p>
      <w:pPr>
        <w:jc w:val="center"/>
      </w:pPr>
      <w:r>
        <w:drawing>
          <wp:inline xmlns:a="http://schemas.openxmlformats.org/drawingml/2006/main" xmlns:pic="http://schemas.openxmlformats.org/drawingml/2006/picture">
            <wp:extent cx="5029200" cy="2286000"/>
            <wp:docPr id="4" name="Picture 4"/>
            <wp:cNvGraphicFramePr>
              <a:graphicFrameLocks noChangeAspect="1"/>
            </wp:cNvGraphicFramePr>
            <a:graphic>
              <a:graphicData uri="http://schemas.openxmlformats.org/drawingml/2006/picture">
                <pic:pic>
                  <pic:nvPicPr>
                    <pic:cNvPr id="0" name="f1_by_fleet.png"/>
                    <pic:cNvPicPr/>
                  </pic:nvPicPr>
                  <pic:blipFill>
                    <a:blip r:embed="rId21"/>
                    <a:stretch>
                      <a:fillRect/>
                    </a:stretch>
                  </pic:blipFill>
                  <pic:spPr>
                    <a:xfrm>
                      <a:off x="0" y="0"/>
                      <a:ext cx="5029200" cy="2286000"/>
                    </a:xfrm>
                    <a:prstGeom prst="rect"/>
                  </pic:spPr>
                </pic:pic>
              </a:graphicData>
            </a:graphic>
          </wp:inline>
        </w:drawing>
      </w:r>
    </w:p>
    <w:p>
      <w:r>
        <w:rPr>
          <w:sz w:val="22"/>
        </w:rPr>
        <w:t>A análise revela uma limitação importante: o modelo tem desempenho excelente nos caminhões 793-D 4S (Recall=0,94, PR-AUC=0,87) mas falha quase totalmente nas escavadeiras LeTourneau L 1850 (Recall=0,14, PR-AUC=0,01). Embora as escavadeiras respondam por 93% do volume total de telemetria, têm taxa de Don't Go 5.000× menor que os caminhões — o modelo aprendeu majoritariamente os padrões dos 793-D.</w:t>
      </w:r>
    </w:p>
    <w:p>
      <w:r>
        <w:rPr>
          <w:sz w:val="22"/>
        </w:rPr>
        <w:t>Esta é uma limitação documentada e direciona uma recomendação concreta para trabalhos futuros: treinar um modelo especializado para escavadeiras ou enriquecer o fingerprint com alarmes específicos de LeTourneau. A segmentação também sugere que thresholds custo-ótimos calibrados por frota podem reduzir ainda mais o custo total operacional.</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1_by_equipment_scatter.png"/>
                    <pic:cNvPicPr/>
                  </pic:nvPicPr>
                  <pic:blipFill>
                    <a:blip r:embed="rId20"/>
                    <a:stretch>
                      <a:fillRect/>
                    </a:stretch>
                  </pic:blipFill>
                  <pic:spPr>
                    <a:xfrm>
                      <a:off x="0" y="0"/>
                      <a:ext cx="5029200" cy="2743200"/>
                    </a:xfrm>
                    <a:prstGeom prst="rect"/>
                  </pic:spPr>
                </pic:pic>
              </a:graphicData>
            </a:graphic>
          </wp:inline>
        </w:drawing>
      </w:r>
    </w:p>
    <w:p>
      <w:pPr>
        <w:pStyle w:val="Ttulo2"/>
      </w:pPr>
      <w:r>
        <w:rPr>
          <w:color w:val="00A650"/>
        </w:rPr>
        <w:t>Ranking de Risco — Frota Completa</w:t>
      </w:r>
    </w:p>
    <w:p>
      <w:r>
        <w:rPr>
          <w:sz w:val="22"/>
        </w:rPr>
        <w:t>A tabela abaixo apresenta os 5 equipamentos com maior taxa de Don't Go, representando os alvos prioritários de manutenção preventiva:</w:t>
      </w:r>
    </w:p>
    <w:tbl>
      <w:tblPr>
        <w:tblStyle w:val="Tabelacomgrade"/>
        <w:tblW w:type="auto" w:w="0"/>
        <w:tblLook w:firstColumn="1" w:firstRow="1" w:lastColumn="0" w:lastRow="0" w:noHBand="0" w:noVBand="1" w:val="04A0"/>
      </w:tblPr>
      <w:tblGrid>
        <w:gridCol w:w="1701"/>
        <w:gridCol w:w="1701"/>
        <w:gridCol w:w="1701"/>
        <w:gridCol w:w="1701"/>
        <w:gridCol w:w="1701"/>
      </w:tblGrid>
      <w:tr>
        <w:tc>
          <w:tcPr>
            <w:tcW w:type="dxa" w:w="1701"/>
          </w:tcPr>
          <w:p>
            <w:r>
              <w:rPr>
                <w:b/>
              </w:rPr>
              <w:t>TAG</w:t>
            </w:r>
          </w:p>
        </w:tc>
        <w:tc>
          <w:tcPr>
            <w:tcW w:type="dxa" w:w="1701"/>
          </w:tcPr>
          <w:p>
            <w:r>
              <w:rPr>
                <w:b/>
              </w:rPr>
              <w:t>Frota</w:t>
            </w:r>
          </w:p>
        </w:tc>
        <w:tc>
          <w:tcPr>
            <w:tcW w:type="dxa" w:w="1701"/>
          </w:tcPr>
          <w:p>
            <w:r>
              <w:rPr>
                <w:b/>
              </w:rPr>
              <w:t>Eventos (6m)</w:t>
            </w:r>
          </w:p>
        </w:tc>
        <w:tc>
          <w:tcPr>
            <w:tcW w:type="dxa" w:w="1701"/>
          </w:tcPr>
          <w:p>
            <w:r>
              <w:rPr>
                <w:b/>
              </w:rPr>
              <w:t>Don't Go</w:t>
            </w:r>
          </w:p>
        </w:tc>
        <w:tc>
          <w:tcPr>
            <w:tcW w:type="dxa" w:w="1701"/>
          </w:tcPr>
          <w:p>
            <w:r>
              <w:rPr>
                <w:b/>
              </w:rPr>
              <w:t>Taxa DG (%)</w:t>
            </w:r>
          </w:p>
        </w:tc>
      </w:tr>
      <w:tr>
        <w:tc>
          <w:tcPr>
            <w:tcW w:type="dxa" w:w="1701"/>
          </w:tcPr>
          <w:p>
            <w:r>
              <w:t>CA65926</w:t>
            </w:r>
          </w:p>
        </w:tc>
        <w:tc>
          <w:tcPr>
            <w:tcW w:type="dxa" w:w="1701"/>
          </w:tcPr>
          <w:p>
            <w:r>
              <w:t>793-D 4S</w:t>
            </w:r>
          </w:p>
        </w:tc>
        <w:tc>
          <w:tcPr>
            <w:tcW w:type="dxa" w:w="1701"/>
          </w:tcPr>
          <w:p>
            <w:r>
              <w:t>96.220</w:t>
            </w:r>
          </w:p>
        </w:tc>
        <w:tc>
          <w:tcPr>
            <w:tcW w:type="dxa" w:w="1701"/>
          </w:tcPr>
          <w:p>
            <w:r>
              <w:t>5.112</w:t>
            </w:r>
          </w:p>
        </w:tc>
        <w:tc>
          <w:tcPr>
            <w:tcW w:type="dxa" w:w="1701"/>
          </w:tcPr>
          <w:p>
            <w:r>
              <w:t>5,31%</w:t>
            </w:r>
          </w:p>
        </w:tc>
      </w:tr>
      <w:tr>
        <w:tc>
          <w:tcPr>
            <w:tcW w:type="dxa" w:w="1701"/>
          </w:tcPr>
          <w:p>
            <w:r>
              <w:t>CA65908</w:t>
            </w:r>
          </w:p>
        </w:tc>
        <w:tc>
          <w:tcPr>
            <w:tcW w:type="dxa" w:w="1701"/>
          </w:tcPr>
          <w:p>
            <w:r>
              <w:t>793-D 3S</w:t>
            </w:r>
          </w:p>
        </w:tc>
        <w:tc>
          <w:tcPr>
            <w:tcW w:type="dxa" w:w="1701"/>
          </w:tcPr>
          <w:p>
            <w:r>
              <w:t>32.498</w:t>
            </w:r>
          </w:p>
        </w:tc>
        <w:tc>
          <w:tcPr>
            <w:tcW w:type="dxa" w:w="1701"/>
          </w:tcPr>
          <w:p>
            <w:r>
              <w:t>703</w:t>
            </w:r>
          </w:p>
        </w:tc>
        <w:tc>
          <w:tcPr>
            <w:tcW w:type="dxa" w:w="1701"/>
          </w:tcPr>
          <w:p>
            <w:r>
              <w:t>2,16%</w:t>
            </w:r>
          </w:p>
        </w:tc>
      </w:tr>
      <w:tr>
        <w:tc>
          <w:tcPr>
            <w:tcW w:type="dxa" w:w="1701"/>
          </w:tcPr>
          <w:p>
            <w:r>
              <w:t>CA65902</w:t>
            </w:r>
          </w:p>
        </w:tc>
        <w:tc>
          <w:tcPr>
            <w:tcW w:type="dxa" w:w="1701"/>
          </w:tcPr>
          <w:p>
            <w:r>
              <w:t>793-D 3S</w:t>
            </w:r>
          </w:p>
        </w:tc>
        <w:tc>
          <w:tcPr>
            <w:tcW w:type="dxa" w:w="1701"/>
          </w:tcPr>
          <w:p>
            <w:r>
              <w:t>25.382</w:t>
            </w:r>
          </w:p>
        </w:tc>
        <w:tc>
          <w:tcPr>
            <w:tcW w:type="dxa" w:w="1701"/>
          </w:tcPr>
          <w:p>
            <w:r>
              <w:t>418</w:t>
            </w:r>
          </w:p>
        </w:tc>
        <w:tc>
          <w:tcPr>
            <w:tcW w:type="dxa" w:w="1701"/>
          </w:tcPr>
          <w:p>
            <w:r>
              <w:t>1,65%</w:t>
            </w:r>
          </w:p>
        </w:tc>
      </w:tr>
      <w:tr>
        <w:tc>
          <w:tcPr>
            <w:tcW w:type="dxa" w:w="1701"/>
          </w:tcPr>
          <w:p>
            <w:r>
              <w:t>CA65927</w:t>
            </w:r>
          </w:p>
        </w:tc>
        <w:tc>
          <w:tcPr>
            <w:tcW w:type="dxa" w:w="1701"/>
          </w:tcPr>
          <w:p>
            <w:r>
              <w:t>793-D 5S</w:t>
            </w:r>
          </w:p>
        </w:tc>
        <w:tc>
          <w:tcPr>
            <w:tcW w:type="dxa" w:w="1701"/>
          </w:tcPr>
          <w:p>
            <w:r>
              <w:t>88.216</w:t>
            </w:r>
          </w:p>
        </w:tc>
        <w:tc>
          <w:tcPr>
            <w:tcW w:type="dxa" w:w="1701"/>
          </w:tcPr>
          <w:p>
            <w:r>
              <w:t>1.320</w:t>
            </w:r>
          </w:p>
        </w:tc>
        <w:tc>
          <w:tcPr>
            <w:tcW w:type="dxa" w:w="1701"/>
          </w:tcPr>
          <w:p>
            <w:r>
              <w:t>1,50%</w:t>
            </w:r>
          </w:p>
        </w:tc>
      </w:tr>
      <w:tr>
        <w:tc>
          <w:tcPr>
            <w:tcW w:type="dxa" w:w="1701"/>
          </w:tcPr>
          <w:p>
            <w:r>
              <w:t>CA65792</w:t>
            </w:r>
          </w:p>
        </w:tc>
        <w:tc>
          <w:tcPr>
            <w:tcW w:type="dxa" w:w="1701"/>
          </w:tcPr>
          <w:p>
            <w:r>
              <w:t>793-D 2S</w:t>
            </w:r>
          </w:p>
        </w:tc>
        <w:tc>
          <w:tcPr>
            <w:tcW w:type="dxa" w:w="1701"/>
          </w:tcPr>
          <w:p>
            <w:r>
              <w:t>126.721</w:t>
            </w:r>
          </w:p>
        </w:tc>
        <w:tc>
          <w:tcPr>
            <w:tcW w:type="dxa" w:w="1701"/>
          </w:tcPr>
          <w:p>
            <w:r>
              <w:t>1.589</w:t>
            </w:r>
          </w:p>
        </w:tc>
        <w:tc>
          <w:tcPr>
            <w:tcW w:type="dxa" w:w="1701"/>
          </w:tcPr>
          <w:p>
            <w:r>
              <w:t>1,25%</w:t>
            </w:r>
          </w:p>
        </w:tc>
      </w:tr>
    </w:tbl>
    <w:p>
      <w:pPr>
        <w:pStyle w:val="Ttulo2"/>
      </w:pPr>
      <w:r>
        <w:rPr>
          <w:color w:val="00A650"/>
        </w:rPr>
        <w:t>Alarm Fingerprint — DNA do Don't Go</w:t>
      </w:r>
    </w:p>
    <w:p>
      <w:r>
        <w:rPr>
          <w:sz w:val="22"/>
        </w:rPr>
        <w:t>A análise do fingerprint revelou que determinados alarmes, quando presentes na janela de 4 horas anteriores a um evento, aumentam significativamente a probabilidade de Don't Go. O alarme 'Raise Hoist Limited By End Of Stroke' (ID 1074008260) é o mais preditivo — presente em mais de 60% dos eventos Don't Go em caminhões 793-D.</w:t>
      </w:r>
    </w:p>
    <w:p>
      <w:pPr>
        <w:jc w:val="center"/>
      </w:pPr>
      <w:r>
        <w:drawing>
          <wp:inline xmlns:a="http://schemas.openxmlformats.org/drawingml/2006/main" xmlns:pic="http://schemas.openxmlformats.org/drawingml/2006/picture">
            <wp:extent cx="4572000" cy="4000500"/>
            <wp:docPr id="2" name="Picture 2"/>
            <wp:cNvGraphicFramePr>
              <a:graphicFrameLocks noChangeAspect="1"/>
            </wp:cNvGraphicFramePr>
            <a:graphic>
              <a:graphicData uri="http://schemas.openxmlformats.org/drawingml/2006/picture">
                <pic:pic>
                  <pic:nvPicPr>
                    <pic:cNvPr id="0" name="shap_importance.png"/>
                    <pic:cNvPicPr/>
                  </pic:nvPicPr>
                  <pic:blipFill>
                    <a:blip r:embed="rId19"/>
                    <a:stretch>
                      <a:fillRect/>
                    </a:stretch>
                  </pic:blipFill>
                  <pic:spPr>
                    <a:xfrm>
                      <a:off x="0" y="0"/>
                      <a:ext cx="4572000" cy="4000500"/>
                    </a:xfrm>
                    <a:prstGeom prst="rect"/>
                  </pic:spPr>
                </pic:pic>
              </a:graphicData>
            </a:graphic>
          </wp:inline>
        </w:drawing>
      </w:r>
    </w:p>
    <w:p>
      <w:r>
        <w:rPr>
          <w:sz w:val="22"/>
        </w:rPr>
        <w:t>A recência do último Don't Go (n_dg_240m) e o contexto temporal (mês, hora do dia) completam o top-5 de features. O mês como feature captura sazonalidade operacional — padrões de manutenção preventiva agendada diferem entre meses.</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timeline_CA65926.png"/>
                    <pic:cNvPicPr/>
                  </pic:nvPicPr>
                  <pic:blipFill>
                    <a:blip r:embed="rId18"/>
                    <a:stretch>
                      <a:fillRect/>
                    </a:stretch>
                  </pic:blipFill>
                  <pic:spPr>
                    <a:xfrm>
                      <a:off x="0" y="0"/>
                      <a:ext cx="5029200" cy="3233057"/>
                    </a:xfrm>
                    <a:prstGeom prst="rect"/>
                  </pic:spPr>
                </pic:pic>
              </a:graphicData>
            </a:graphic>
          </wp:inline>
        </w:drawing>
      </w:r>
    </w:p>
    <w:p>
      <w:pPr>
        <w:pStyle w:val="Ttulo2"/>
      </w:pPr>
      <w:r>
        <w:rPr>
          <w:color w:val="00A650"/>
        </w:rPr>
        <w:t>Insights Acionáveis para o Negócio</w:t>
      </w:r>
    </w:p>
    <w:p>
      <w:pPr>
        <w:pStyle w:val="Commarcadores"/>
      </w:pPr>
      <w:r>
        <w:rPr>
          <w:sz w:val="22"/>
        </w:rPr>
        <w:t>Manutenção focada em CA65926: o equipamento requer investigação estrutural. Sua taxa de DG (5,31%) sugere problema sistêmico não resolvido por manutenção corretiva padrão. Recomendamos inspeção preventiva de maior profundidade.</w:t>
      </w:r>
    </w:p>
    <w:p>
      <w:pPr>
        <w:pStyle w:val="Commarcadores"/>
      </w:pPr>
      <w:r>
        <w:rPr>
          <w:sz w:val="22"/>
        </w:rPr>
        <w:t>Janela de intervenção de 60 minutos: o modelo identifica 65% dos eventos Don't Go com até 1 hora de antecedência. Essa janela é suficiente para acionar uma equipe de manutenção e evitar a paralisação não planejada.</w:t>
      </w:r>
    </w:p>
    <w:p>
      <w:pPr>
        <w:pStyle w:val="Commarcadores"/>
      </w:pPr>
      <w:r>
        <w:rPr>
          <w:sz w:val="22"/>
        </w:rPr>
        <w:t>Score de risco em tempo real: o dashboard Streamlit desenvolvido permite monitorar o score de risco por equipamento continuamente, priorizando inspeções preventivas pelos equipamentos com maior pontuação.</w:t>
      </w:r>
    </w:p>
    <w:p>
      <w:pPr>
        <w:pStyle w:val="Commarcadores"/>
      </w:pPr>
      <w:r>
        <w:rPr>
          <w:sz w:val="22"/>
        </w:rPr>
        <w:t>Aceleração como sinal primário: o aumento rápido de alarmes críticos na janela de 60 minutos (feature aceleracao_criticos) é o segundo fator mais determinante do modelo — um indicador operacional simples e interpretável para operadores.</w:t>
      </w:r>
    </w:p>
    <w:p w14:paraId="0D689F82" w14:textId="1EA4D1BC"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t>Conclusão e Trabalhos Futuros</w:t>
      </w:r>
    </w:p>
    <w:p>
      <w:r>
        <w:rPr>
          <w:sz w:val="22"/>
        </w:rPr>
        <w:t>Este trabalho demonstrou que é possível prever eventos Don't Go em equipamentos de mineração pesada com 60 minutos de antecedência, utilizando exclusivamente os dados de telemetria disponíveis. O pipeline completo (Bronze → Silver → Gold → Modelo) processa 37,2 milhões de eventos de forma eficiente e reproduzível, e o modelo LightGBM com alarm fingerprint alcança ROC-AUC de 0,99, transformando dados brutos de sensores em um score de risco interpretável e acionável.</w:t>
      </w:r>
    </w:p>
    <w:p>
      <w:r>
        <w:rPr>
          <w:sz w:val="22"/>
        </w:rPr>
        <w:t>A identificação do CA65926 como outlier extremo (taxa DG 98× superior à média) é por si só um achado de alto valor operacional, direcionando recursos de manutenção para o equipamento que mais necessita de intervenção estrutural.</w:t>
      </w:r>
    </w:p>
    <w:p>
      <w:pPr>
        <w:pStyle w:val="Ttulo2"/>
      </w:pPr>
      <w:r>
        <w:rPr>
          <w:color w:val="00A650"/>
        </w:rPr>
        <w:t>Trabalhos Futuros</w:t>
      </w:r>
    </w:p>
    <w:p>
      <w:pPr>
        <w:pStyle w:val="Commarcadores"/>
      </w:pPr>
      <w:r>
        <w:rPr>
          <w:sz w:val="22"/>
        </w:rPr>
        <w:t>Otimização contínua do F1-Score: experimentos com SMOTE, ajuste fino de hiperparâmetros e threshold dinâmico por equipamento para superar a meta de F1 ≥ 0,75.</w:t>
      </w:r>
    </w:p>
    <w:p>
      <w:pPr>
        <w:pStyle w:val="Commarcadores"/>
      </w:pPr>
      <w:r>
        <w:rPr>
          <w:sz w:val="22"/>
        </w:rPr>
        <w:t>Modelos por frota: treinar modelos especializados por tipo de equipamento (793-D 2S, 3S, 4S, 5S) para capturar padrões específicos de cada frota.</w:t>
      </w:r>
    </w:p>
    <w:p>
      <w:pPr>
        <w:pStyle w:val="Commarcadores"/>
      </w:pPr>
      <w:r>
        <w:rPr>
          <w:sz w:val="22"/>
        </w:rPr>
        <w:t>Integração em tempo real: conectar o pipeline ao sistema de telemetria em produção para geração de alertas preventivos automáticos.</w:t>
      </w:r>
    </w:p>
    <w:p>
      <w:pPr>
        <w:pStyle w:val="Commarcadores"/>
      </w:pPr>
      <w:r>
        <w:rPr>
          <w:sz w:val="22"/>
        </w:rPr>
        <w:t>Análise de operador: coletar e incorporar dados de operador (ausentes no dataset atual) para investigar a hipótese H7 — correlação entre estilo de operação e perfil de falhas.</w:t>
      </w:r>
    </w:p>
    <w:p>
      <w:pPr>
        <w:pStyle w:val="Commarcadores"/>
      </w:pPr>
      <w:r>
        <w:rPr>
          <w:sz w:val="22"/>
        </w:rPr>
        <w:t>Modelos de série temporal: explorar abordagens como LSTM ou Temporal Fusion Transformer para capturar dependências temporais de longo prazo nos dados de alarme.</w:t>
      </w:r>
    </w:p>
    <w:p w14:paraId="5DD34771" w14:textId="77777777" w:rsidR="00151F8D" w:rsidRPr="00151F8D" w:rsidRDefault="00151F8D" w:rsidP="00151F8D">
      <w:pPr>
        <w:pStyle w:val="Commarcadores"/>
        <w:numPr>
          <w:ilvl w:val="0"/>
          <w:numId w:val="0"/>
        </w:numPr>
        <w:jc w:val="both"/>
        <w:rPr>
          <w:rFonts w:ascii="Vale Sans" w:eastAsiaTheme="minorHAnsi" w:hAnsi="Vale Sans"/>
          <w:kern w:val="2"/>
          <w:sz w:val="24"/>
          <w:szCs w:val="24"/>
          <w:lang w:val="pt-BR"/>
          <w14:ligatures w14:val="standardContextual"/>
        </w:rPr>
      </w:pPr>
    </w:p>
    <w:sectPr w:rsidR="00151F8D" w:rsidRPr="00151F8D" w:rsidSect="00D43F38">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4140" w14:textId="77777777" w:rsidR="00707986" w:rsidRDefault="00707986" w:rsidP="001279EA">
      <w:pPr>
        <w:spacing w:after="0" w:line="240" w:lineRule="auto"/>
      </w:pPr>
      <w:r>
        <w:separator/>
      </w:r>
    </w:p>
  </w:endnote>
  <w:endnote w:type="continuationSeparator" w:id="0">
    <w:p w14:paraId="5FEFA06F" w14:textId="77777777" w:rsidR="00707986" w:rsidRDefault="00707986" w:rsidP="001279EA">
      <w:pPr>
        <w:spacing w:after="0" w:line="240" w:lineRule="auto"/>
      </w:pPr>
      <w:r>
        <w:continuationSeparator/>
      </w:r>
    </w:p>
  </w:endnote>
  <w:endnote w:type="continuationNotice" w:id="1">
    <w:p w14:paraId="76976DD3" w14:textId="77777777" w:rsidR="00707986" w:rsidRDefault="007079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le Sans">
    <w:altName w:val="Calibri"/>
    <w:panose1 w:val="020B0503020204030204"/>
    <w:charset w:val="00"/>
    <w:family w:val="swiss"/>
    <w:pitch w:val="variable"/>
    <w:sig w:usb0="00000007" w:usb1="00000001" w:usb2="00000000" w:usb3="00000000" w:csb0="00000093"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80764"/>
      <w:docPartObj>
        <w:docPartGallery w:val="Page Numbers (Bottom of Page)"/>
        <w:docPartUnique/>
      </w:docPartObj>
    </w:sdtPr>
    <w:sdtContent>
      <w:p w14:paraId="4D0004A3" w14:textId="2CBD11DF" w:rsidR="006767C3" w:rsidRDefault="006767C3">
        <w:pPr>
          <w:pStyle w:val="Rodap"/>
          <w:jc w:val="right"/>
        </w:pPr>
        <w:r>
          <w:fldChar w:fldCharType="begin"/>
        </w:r>
        <w:r>
          <w:instrText>PAGE   \* MERGEFORMAT</w:instrText>
        </w:r>
        <w:r>
          <w:fldChar w:fldCharType="separate"/>
        </w:r>
        <w:r>
          <w:t>2</w:t>
        </w:r>
        <w:r>
          <w:fldChar w:fldCharType="end"/>
        </w:r>
      </w:p>
    </w:sdtContent>
  </w:sdt>
  <w:p w14:paraId="60CB4D01" w14:textId="77777777" w:rsidR="006767C3" w:rsidRDefault="006767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20CA" w14:textId="77777777" w:rsidR="00707986" w:rsidRDefault="00707986" w:rsidP="001279EA">
      <w:pPr>
        <w:spacing w:after="0" w:line="240" w:lineRule="auto"/>
      </w:pPr>
      <w:r>
        <w:separator/>
      </w:r>
    </w:p>
  </w:footnote>
  <w:footnote w:type="continuationSeparator" w:id="0">
    <w:p w14:paraId="3F002F58" w14:textId="77777777" w:rsidR="00707986" w:rsidRDefault="00707986" w:rsidP="001279EA">
      <w:pPr>
        <w:spacing w:after="0" w:line="240" w:lineRule="auto"/>
      </w:pPr>
      <w:r>
        <w:continuationSeparator/>
      </w:r>
    </w:p>
  </w:footnote>
  <w:footnote w:type="continuationNotice" w:id="1">
    <w:p w14:paraId="79E658DA" w14:textId="77777777" w:rsidR="00707986" w:rsidRDefault="007079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93F" w14:textId="2A02618C" w:rsidR="007659D3" w:rsidRDefault="008A5B78" w:rsidP="007659D3">
    <w:pPr>
      <w:pStyle w:val="Cabealho"/>
      <w:jc w:val="right"/>
      <w:rPr>
        <w:rStyle w:val="wacimagecontainer"/>
        <w:rFonts w:cs="Segoe UI"/>
        <w:noProof/>
        <w:color w:val="000000"/>
        <w:sz w:val="18"/>
        <w:szCs w:val="18"/>
        <w:shd w:val="clear" w:color="auto" w:fill="FFFFFF"/>
      </w:rPr>
    </w:pPr>
    <w:r w:rsidRPr="008A5B78">
      <w:rPr>
        <w:rStyle w:val="wacimagecontainer"/>
        <w:rFonts w:cs="Segoe UI"/>
        <w:noProof/>
        <w:color w:val="000000"/>
        <w:sz w:val="18"/>
        <w:szCs w:val="18"/>
        <w:shd w:val="clear" w:color="auto" w:fill="FFFFFF"/>
      </w:rPr>
      <w:drawing>
        <wp:inline distT="0" distB="0" distL="0" distR="0" wp14:anchorId="3864F8E6" wp14:editId="1947DCA0">
          <wp:extent cx="1882066" cy="517959"/>
          <wp:effectExtent l="0" t="0" r="4445" b="0"/>
          <wp:docPr id="1231659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9981" name=""/>
                  <pic:cNvPicPr/>
                </pic:nvPicPr>
                <pic:blipFill>
                  <a:blip r:embed="rId1"/>
                  <a:stretch>
                    <a:fillRect/>
                  </a:stretch>
                </pic:blipFill>
                <pic:spPr>
                  <a:xfrm>
                    <a:off x="0" y="0"/>
                    <a:ext cx="1955112" cy="538062"/>
                  </a:xfrm>
                  <a:prstGeom prst="rect">
                    <a:avLst/>
                  </a:prstGeom>
                </pic:spPr>
              </pic:pic>
            </a:graphicData>
          </a:graphic>
        </wp:inline>
      </w:drawing>
    </w:r>
    <w:r w:rsidR="007659D3">
      <w:rPr>
        <w:rStyle w:val="wacimagecontainer"/>
        <w:rFonts w:cs="Segoe UI"/>
        <w:noProof/>
        <w:color w:val="000000"/>
        <w:sz w:val="18"/>
        <w:szCs w:val="18"/>
        <w:shd w:val="clear" w:color="auto" w:fill="FFFFFF"/>
      </w:rPr>
      <w:t xml:space="preserve">                                        </w:t>
    </w:r>
    <w:r w:rsidR="006767C3" w:rsidRPr="007659D3">
      <w:rPr>
        <w:rStyle w:val="wacimagecontainer"/>
        <w:rFonts w:cs="Segoe UI"/>
        <w:noProof/>
        <w:color w:val="000000"/>
        <w:sz w:val="18"/>
        <w:szCs w:val="18"/>
        <w:shd w:val="clear" w:color="auto" w:fill="FFFFFF"/>
      </w:rPr>
      <w:t xml:space="preserve">                                                                          </w:t>
    </w:r>
    <w:r w:rsidR="00C02DD1" w:rsidRPr="006767C3">
      <w:rPr>
        <w:rFonts w:ascii="Vale Sans" w:hAnsi="Vale Sans" w:cs="Calibri"/>
        <w:color w:val="000000"/>
        <w:sz w:val="22"/>
        <w:szCs w:val="22"/>
        <w:shd w:val="clear" w:color="auto" w:fill="FFFFFF"/>
      </w:rPr>
      <w:br/>
    </w:r>
    <w:r w:rsidR="00C71081" w:rsidRPr="00C71081">
      <w:rPr>
        <w:rFonts w:ascii="Vale Sans" w:hAnsi="Vale Sans"/>
        <w:b/>
        <w:bCs/>
        <w:i/>
        <w:iCs/>
      </w:rPr>
      <w:t>Template</w:t>
    </w:r>
    <w:r w:rsidR="00C71081">
      <w:rPr>
        <w:rFonts w:ascii="Vale Sans" w:hAnsi="Vale Sans"/>
        <w:b/>
        <w:bCs/>
      </w:rPr>
      <w:t xml:space="preserve"> Padrão</w:t>
    </w:r>
    <w:r w:rsidR="007659D3">
      <w:rPr>
        <w:rStyle w:val="wacimagecontainer"/>
        <w:rFonts w:cs="Segoe UI"/>
        <w:noProof/>
        <w:color w:val="000000"/>
        <w:sz w:val="18"/>
        <w:szCs w:val="18"/>
        <w:shd w:val="clear" w:color="auto" w:fill="FFFFFF"/>
      </w:rPr>
      <w:t xml:space="preserve"> </w:t>
    </w:r>
  </w:p>
  <w:p w14:paraId="3A54DD26" w14:textId="7AA24EE6" w:rsidR="00C02DD1" w:rsidRPr="006767C3" w:rsidRDefault="00C02DD1" w:rsidP="007659D3">
    <w:pPr>
      <w:pStyle w:val="Cabealho"/>
      <w:rPr>
        <w:rFonts w:ascii="Vale Sans" w:hAnsi="Vale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2310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CBB0BE4"/>
    <w:multiLevelType w:val="hybridMultilevel"/>
    <w:tmpl w:val="A5B46A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59651AD"/>
    <w:multiLevelType w:val="hybridMultilevel"/>
    <w:tmpl w:val="0DA614A8"/>
    <w:lvl w:ilvl="0" w:tplc="F9A25E14">
      <w:start w:val="1"/>
      <w:numFmt w:val="decimal"/>
      <w:lvlText w:val="%1."/>
      <w:lvlJc w:val="left"/>
      <w:pPr>
        <w:ind w:left="720" w:hanging="360"/>
      </w:pPr>
      <w:rPr>
        <w:sz w:val="36"/>
        <w:szCs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A564EB"/>
    <w:multiLevelType w:val="hybridMultilevel"/>
    <w:tmpl w:val="CE84324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4D3E18"/>
    <w:multiLevelType w:val="multilevel"/>
    <w:tmpl w:val="CD629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746227"/>
    <w:multiLevelType w:val="multilevel"/>
    <w:tmpl w:val="67A6CAA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F623BA7"/>
    <w:multiLevelType w:val="hybridMultilevel"/>
    <w:tmpl w:val="5ADAE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4927FA"/>
    <w:multiLevelType w:val="multilevel"/>
    <w:tmpl w:val="ABA44528"/>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cs="Courier New" w:hint="default"/>
        <w:sz w:val="20"/>
        <w:szCs w:val="24"/>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80CED"/>
    <w:multiLevelType w:val="hybridMultilevel"/>
    <w:tmpl w:val="35E02C2C"/>
    <w:lvl w:ilvl="0" w:tplc="1EB67446">
      <w:start w:val="1"/>
      <w:numFmt w:val="decimal"/>
      <w:lvlText w:val="%1."/>
      <w:lvlJc w:val="left"/>
      <w:pPr>
        <w:ind w:left="1080" w:hanging="720"/>
      </w:pPr>
      <w:rPr>
        <w:rFonts w:eastAsiaTheme="minorHAnsi"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5612B7D"/>
    <w:multiLevelType w:val="multilevel"/>
    <w:tmpl w:val="25D242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1512C0"/>
    <w:multiLevelType w:val="hybridMultilevel"/>
    <w:tmpl w:val="679E72D2"/>
    <w:lvl w:ilvl="0" w:tplc="A3A6C54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2E12627"/>
    <w:multiLevelType w:val="hybridMultilevel"/>
    <w:tmpl w:val="8CD65CC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B86F72"/>
    <w:multiLevelType w:val="hybridMultilevel"/>
    <w:tmpl w:val="DDD4D154"/>
    <w:lvl w:ilvl="0" w:tplc="2736AB20">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466582"/>
    <w:multiLevelType w:val="multilevel"/>
    <w:tmpl w:val="A29E2B2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C251FA"/>
    <w:multiLevelType w:val="hybridMultilevel"/>
    <w:tmpl w:val="0ADA98F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E23434"/>
    <w:multiLevelType w:val="multilevel"/>
    <w:tmpl w:val="7318DF64"/>
    <w:lvl w:ilvl="0">
      <w:start w:val="1"/>
      <w:numFmt w:val="decimal"/>
      <w:lvlText w:val="%1."/>
      <w:lvlJc w:val="left"/>
      <w:pPr>
        <w:ind w:left="360" w:hanging="360"/>
      </w:pPr>
      <w:rPr>
        <w:rFonts w:hint="default"/>
      </w:rPr>
    </w:lvl>
    <w:lvl w:ilvl="1">
      <w:start w:val="1"/>
      <w:numFmt w:val="decimal"/>
      <w:isLgl/>
      <w:lvlText w:val="%1.%2"/>
      <w:lvlJc w:val="left"/>
      <w:pPr>
        <w:ind w:left="1524" w:hanging="456"/>
      </w:pPr>
      <w:rPr>
        <w:rFonts w:hint="default"/>
      </w:rPr>
    </w:lvl>
    <w:lvl w:ilvl="2">
      <w:start w:val="1"/>
      <w:numFmt w:val="decimal"/>
      <w:isLgl/>
      <w:lvlText w:val="%1.%2.%3"/>
      <w:lvlJc w:val="left"/>
      <w:pPr>
        <w:ind w:left="2856" w:hanging="720"/>
      </w:pPr>
      <w:rPr>
        <w:rFonts w:hint="default"/>
      </w:rPr>
    </w:lvl>
    <w:lvl w:ilvl="3">
      <w:start w:val="1"/>
      <w:numFmt w:val="decimal"/>
      <w:isLgl/>
      <w:lvlText w:val="%1.%2.%3.%4"/>
      <w:lvlJc w:val="left"/>
      <w:pPr>
        <w:ind w:left="3924" w:hanging="720"/>
      </w:pPr>
      <w:rPr>
        <w:rFonts w:hint="default"/>
      </w:rPr>
    </w:lvl>
    <w:lvl w:ilvl="4">
      <w:start w:val="1"/>
      <w:numFmt w:val="decimal"/>
      <w:isLgl/>
      <w:lvlText w:val="%1.%2.%3.%4.%5"/>
      <w:lvlJc w:val="left"/>
      <w:pPr>
        <w:ind w:left="5352" w:hanging="1080"/>
      </w:pPr>
      <w:rPr>
        <w:rFonts w:hint="default"/>
      </w:rPr>
    </w:lvl>
    <w:lvl w:ilvl="5">
      <w:start w:val="1"/>
      <w:numFmt w:val="decimal"/>
      <w:isLgl/>
      <w:lvlText w:val="%1.%2.%3.%4.%5.%6"/>
      <w:lvlJc w:val="left"/>
      <w:pPr>
        <w:ind w:left="6420" w:hanging="1080"/>
      </w:pPr>
      <w:rPr>
        <w:rFonts w:hint="default"/>
      </w:rPr>
    </w:lvl>
    <w:lvl w:ilvl="6">
      <w:start w:val="1"/>
      <w:numFmt w:val="decimal"/>
      <w:isLgl/>
      <w:lvlText w:val="%1.%2.%3.%4.%5.%6.%7"/>
      <w:lvlJc w:val="left"/>
      <w:pPr>
        <w:ind w:left="7848" w:hanging="1440"/>
      </w:pPr>
      <w:rPr>
        <w:rFonts w:hint="default"/>
      </w:rPr>
    </w:lvl>
    <w:lvl w:ilvl="7">
      <w:start w:val="1"/>
      <w:numFmt w:val="decimal"/>
      <w:isLgl/>
      <w:lvlText w:val="%1.%2.%3.%4.%5.%6.%7.%8"/>
      <w:lvlJc w:val="left"/>
      <w:pPr>
        <w:ind w:left="8916" w:hanging="1440"/>
      </w:pPr>
      <w:rPr>
        <w:rFonts w:hint="default"/>
      </w:rPr>
    </w:lvl>
    <w:lvl w:ilvl="8">
      <w:start w:val="1"/>
      <w:numFmt w:val="decimal"/>
      <w:isLgl/>
      <w:lvlText w:val="%1.%2.%3.%4.%5.%6.%7.%8.%9"/>
      <w:lvlJc w:val="left"/>
      <w:pPr>
        <w:ind w:left="10344" w:hanging="1800"/>
      </w:pPr>
      <w:rPr>
        <w:rFonts w:hint="default"/>
      </w:rPr>
    </w:lvl>
  </w:abstractNum>
  <w:abstractNum w:abstractNumId="16" w15:restartNumberingAfterBreak="0">
    <w:nsid w:val="4D922C47"/>
    <w:multiLevelType w:val="hybridMultilevel"/>
    <w:tmpl w:val="D1B493D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FAE04B4"/>
    <w:multiLevelType w:val="hybridMultilevel"/>
    <w:tmpl w:val="364A05CE"/>
    <w:lvl w:ilvl="0" w:tplc="0AD86B8E">
      <w:start w:val="1"/>
      <w:numFmt w:val="decimal"/>
      <w:lvlText w:val="%1-"/>
      <w:lvlJc w:val="left"/>
      <w:pPr>
        <w:ind w:left="720" w:hanging="360"/>
      </w:pPr>
      <w:rPr>
        <w:rFonts w:asciiTheme="minorHAnsi" w:eastAsiaTheme="minorHAnsi" w:hAnsiTheme="minorHAnsi" w:cstheme="minorBid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8C9436B"/>
    <w:multiLevelType w:val="multilevel"/>
    <w:tmpl w:val="3C584D0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A8D671B"/>
    <w:multiLevelType w:val="multilevel"/>
    <w:tmpl w:val="A29E2B22"/>
    <w:lvl w:ilvl="0">
      <w:start w:val="2"/>
      <w:numFmt w:val="decimal"/>
      <w:lvlText w:val="%1"/>
      <w:lvlJc w:val="left"/>
      <w:pPr>
        <w:ind w:left="1068"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20" w15:restartNumberingAfterBreak="0">
    <w:nsid w:val="75EA684A"/>
    <w:multiLevelType w:val="hybridMultilevel"/>
    <w:tmpl w:val="27A68EEA"/>
    <w:lvl w:ilvl="0" w:tplc="04160001">
      <w:start w:val="1"/>
      <w:numFmt w:val="bullet"/>
      <w:lvlText w:val=""/>
      <w:lvlJc w:val="left"/>
      <w:pPr>
        <w:ind w:left="720" w:hanging="7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86839821">
    <w:abstractNumId w:val="17"/>
  </w:num>
  <w:num w:numId="2" w16cid:durableId="442724623">
    <w:abstractNumId w:val="19"/>
  </w:num>
  <w:num w:numId="3" w16cid:durableId="1144666606">
    <w:abstractNumId w:val="6"/>
  </w:num>
  <w:num w:numId="4" w16cid:durableId="1963883860">
    <w:abstractNumId w:val="13"/>
  </w:num>
  <w:num w:numId="5" w16cid:durableId="1642030970">
    <w:abstractNumId w:val="15"/>
  </w:num>
  <w:num w:numId="6" w16cid:durableId="1701005972">
    <w:abstractNumId w:val="16"/>
  </w:num>
  <w:num w:numId="7" w16cid:durableId="539443683">
    <w:abstractNumId w:val="14"/>
  </w:num>
  <w:num w:numId="8" w16cid:durableId="1603344162">
    <w:abstractNumId w:val="10"/>
  </w:num>
  <w:num w:numId="9" w16cid:durableId="531459416">
    <w:abstractNumId w:val="20"/>
  </w:num>
  <w:num w:numId="10" w16cid:durableId="614487733">
    <w:abstractNumId w:val="7"/>
  </w:num>
  <w:num w:numId="11" w16cid:durableId="2139948643">
    <w:abstractNumId w:val="11"/>
  </w:num>
  <w:num w:numId="12" w16cid:durableId="2100174566">
    <w:abstractNumId w:val="1"/>
  </w:num>
  <w:num w:numId="13" w16cid:durableId="1888952615">
    <w:abstractNumId w:val="3"/>
  </w:num>
  <w:num w:numId="14" w16cid:durableId="17511801">
    <w:abstractNumId w:val="18"/>
  </w:num>
  <w:num w:numId="15" w16cid:durableId="112602366">
    <w:abstractNumId w:val="4"/>
  </w:num>
  <w:num w:numId="16" w16cid:durableId="385378092">
    <w:abstractNumId w:val="5"/>
  </w:num>
  <w:num w:numId="17" w16cid:durableId="266350573">
    <w:abstractNumId w:val="9"/>
  </w:num>
  <w:num w:numId="18" w16cid:durableId="302732230">
    <w:abstractNumId w:val="2"/>
  </w:num>
  <w:num w:numId="19" w16cid:durableId="2032103855">
    <w:abstractNumId w:val="8"/>
  </w:num>
  <w:num w:numId="20" w16cid:durableId="1020473806">
    <w:abstractNumId w:val="0"/>
  </w:num>
  <w:num w:numId="21" w16cid:durableId="2120447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3F"/>
    <w:rsid w:val="000033CB"/>
    <w:rsid w:val="0000377B"/>
    <w:rsid w:val="000059C4"/>
    <w:rsid w:val="000064F2"/>
    <w:rsid w:val="00006CE7"/>
    <w:rsid w:val="0000736D"/>
    <w:rsid w:val="00007CD5"/>
    <w:rsid w:val="000224E2"/>
    <w:rsid w:val="00023A65"/>
    <w:rsid w:val="00025BA8"/>
    <w:rsid w:val="000370D8"/>
    <w:rsid w:val="000416B3"/>
    <w:rsid w:val="0004380D"/>
    <w:rsid w:val="00052A64"/>
    <w:rsid w:val="00064CF2"/>
    <w:rsid w:val="000661B6"/>
    <w:rsid w:val="00067377"/>
    <w:rsid w:val="00070662"/>
    <w:rsid w:val="00070E64"/>
    <w:rsid w:val="00070ECC"/>
    <w:rsid w:val="00075915"/>
    <w:rsid w:val="00076DCF"/>
    <w:rsid w:val="000859EF"/>
    <w:rsid w:val="00093130"/>
    <w:rsid w:val="0009539C"/>
    <w:rsid w:val="000A0ED7"/>
    <w:rsid w:val="000A50E3"/>
    <w:rsid w:val="000A7054"/>
    <w:rsid w:val="000B08B6"/>
    <w:rsid w:val="000B4649"/>
    <w:rsid w:val="000B6C9F"/>
    <w:rsid w:val="000B76DD"/>
    <w:rsid w:val="000C0E24"/>
    <w:rsid w:val="000C246C"/>
    <w:rsid w:val="000C46C7"/>
    <w:rsid w:val="000D0696"/>
    <w:rsid w:val="000D0B6A"/>
    <w:rsid w:val="000D0DBB"/>
    <w:rsid w:val="000D11D4"/>
    <w:rsid w:val="000D1D31"/>
    <w:rsid w:val="000D2DD3"/>
    <w:rsid w:val="000D6BDC"/>
    <w:rsid w:val="000E05DC"/>
    <w:rsid w:val="000E4DCC"/>
    <w:rsid w:val="000F133B"/>
    <w:rsid w:val="00107901"/>
    <w:rsid w:val="0010791C"/>
    <w:rsid w:val="001100B6"/>
    <w:rsid w:val="0011144C"/>
    <w:rsid w:val="00111CDA"/>
    <w:rsid w:val="00112D66"/>
    <w:rsid w:val="001200A8"/>
    <w:rsid w:val="00121526"/>
    <w:rsid w:val="00122E65"/>
    <w:rsid w:val="001233C1"/>
    <w:rsid w:val="00125B95"/>
    <w:rsid w:val="00126353"/>
    <w:rsid w:val="001279EA"/>
    <w:rsid w:val="00132398"/>
    <w:rsid w:val="00135230"/>
    <w:rsid w:val="00135329"/>
    <w:rsid w:val="00151F8D"/>
    <w:rsid w:val="00154A71"/>
    <w:rsid w:val="00162FA5"/>
    <w:rsid w:val="00163B4B"/>
    <w:rsid w:val="00163C89"/>
    <w:rsid w:val="0016415C"/>
    <w:rsid w:val="0016602A"/>
    <w:rsid w:val="001701BE"/>
    <w:rsid w:val="001705B4"/>
    <w:rsid w:val="00172013"/>
    <w:rsid w:val="001828E8"/>
    <w:rsid w:val="0018421C"/>
    <w:rsid w:val="00184F50"/>
    <w:rsid w:val="00185BF0"/>
    <w:rsid w:val="00195766"/>
    <w:rsid w:val="0019590E"/>
    <w:rsid w:val="001A55BC"/>
    <w:rsid w:val="001B13BE"/>
    <w:rsid w:val="001B31E8"/>
    <w:rsid w:val="001B4AE6"/>
    <w:rsid w:val="001C0DFB"/>
    <w:rsid w:val="001C2A49"/>
    <w:rsid w:val="001D705E"/>
    <w:rsid w:val="001E17D2"/>
    <w:rsid w:val="001E4C4C"/>
    <w:rsid w:val="001E564A"/>
    <w:rsid w:val="001E6B5D"/>
    <w:rsid w:val="001F0133"/>
    <w:rsid w:val="001F3DB2"/>
    <w:rsid w:val="001F4719"/>
    <w:rsid w:val="001F6CE8"/>
    <w:rsid w:val="00200314"/>
    <w:rsid w:val="00205CAC"/>
    <w:rsid w:val="00207C99"/>
    <w:rsid w:val="00207ECC"/>
    <w:rsid w:val="00215E43"/>
    <w:rsid w:val="00217CA8"/>
    <w:rsid w:val="00220BA2"/>
    <w:rsid w:val="00227E83"/>
    <w:rsid w:val="002351C3"/>
    <w:rsid w:val="00237665"/>
    <w:rsid w:val="00242F31"/>
    <w:rsid w:val="00254C3A"/>
    <w:rsid w:val="002565A9"/>
    <w:rsid w:val="00262FA7"/>
    <w:rsid w:val="00265584"/>
    <w:rsid w:val="00266383"/>
    <w:rsid w:val="00267024"/>
    <w:rsid w:val="00275672"/>
    <w:rsid w:val="0028027B"/>
    <w:rsid w:val="002822A2"/>
    <w:rsid w:val="00282691"/>
    <w:rsid w:val="00282F06"/>
    <w:rsid w:val="00286BF8"/>
    <w:rsid w:val="002913A8"/>
    <w:rsid w:val="00294CCC"/>
    <w:rsid w:val="002A3A88"/>
    <w:rsid w:val="002A4198"/>
    <w:rsid w:val="002A5065"/>
    <w:rsid w:val="002A523F"/>
    <w:rsid w:val="002B192D"/>
    <w:rsid w:val="002B3A8B"/>
    <w:rsid w:val="002C1390"/>
    <w:rsid w:val="002C162D"/>
    <w:rsid w:val="002C40D4"/>
    <w:rsid w:val="002C519C"/>
    <w:rsid w:val="002C6DF7"/>
    <w:rsid w:val="002D16A0"/>
    <w:rsid w:val="002D4AF8"/>
    <w:rsid w:val="002D5123"/>
    <w:rsid w:val="002D7F84"/>
    <w:rsid w:val="002E7CD7"/>
    <w:rsid w:val="002F442A"/>
    <w:rsid w:val="00307D01"/>
    <w:rsid w:val="00307F3B"/>
    <w:rsid w:val="00324179"/>
    <w:rsid w:val="00327AB4"/>
    <w:rsid w:val="00330100"/>
    <w:rsid w:val="003302A6"/>
    <w:rsid w:val="00334308"/>
    <w:rsid w:val="0033500A"/>
    <w:rsid w:val="003402D0"/>
    <w:rsid w:val="003415E5"/>
    <w:rsid w:val="00341830"/>
    <w:rsid w:val="00342E70"/>
    <w:rsid w:val="00343418"/>
    <w:rsid w:val="00343C57"/>
    <w:rsid w:val="00345601"/>
    <w:rsid w:val="00347AB4"/>
    <w:rsid w:val="00356B71"/>
    <w:rsid w:val="00357436"/>
    <w:rsid w:val="00360A88"/>
    <w:rsid w:val="00360F4F"/>
    <w:rsid w:val="003615BC"/>
    <w:rsid w:val="00361ACE"/>
    <w:rsid w:val="003626D9"/>
    <w:rsid w:val="003646B0"/>
    <w:rsid w:val="003650B1"/>
    <w:rsid w:val="00371650"/>
    <w:rsid w:val="00372E3F"/>
    <w:rsid w:val="003757AA"/>
    <w:rsid w:val="00380446"/>
    <w:rsid w:val="0038592D"/>
    <w:rsid w:val="00387794"/>
    <w:rsid w:val="00390C18"/>
    <w:rsid w:val="00391071"/>
    <w:rsid w:val="00391236"/>
    <w:rsid w:val="00392408"/>
    <w:rsid w:val="00393CD3"/>
    <w:rsid w:val="00397121"/>
    <w:rsid w:val="0039766B"/>
    <w:rsid w:val="003A0876"/>
    <w:rsid w:val="003B0D7D"/>
    <w:rsid w:val="003B25D5"/>
    <w:rsid w:val="003C1CA4"/>
    <w:rsid w:val="003C53FD"/>
    <w:rsid w:val="003D3FE6"/>
    <w:rsid w:val="003E15A2"/>
    <w:rsid w:val="003E5B92"/>
    <w:rsid w:val="003F1650"/>
    <w:rsid w:val="003F5015"/>
    <w:rsid w:val="003F5C0D"/>
    <w:rsid w:val="003F7339"/>
    <w:rsid w:val="003F73F1"/>
    <w:rsid w:val="004011FB"/>
    <w:rsid w:val="00403B75"/>
    <w:rsid w:val="004048E4"/>
    <w:rsid w:val="00405057"/>
    <w:rsid w:val="00407EF7"/>
    <w:rsid w:val="004152DA"/>
    <w:rsid w:val="00430EC9"/>
    <w:rsid w:val="00432237"/>
    <w:rsid w:val="004361BC"/>
    <w:rsid w:val="00436450"/>
    <w:rsid w:val="0044024A"/>
    <w:rsid w:val="00443351"/>
    <w:rsid w:val="00444BDD"/>
    <w:rsid w:val="0044651D"/>
    <w:rsid w:val="0045037D"/>
    <w:rsid w:val="004518D3"/>
    <w:rsid w:val="00465051"/>
    <w:rsid w:val="0046711C"/>
    <w:rsid w:val="00467790"/>
    <w:rsid w:val="004718A2"/>
    <w:rsid w:val="00481199"/>
    <w:rsid w:val="00482341"/>
    <w:rsid w:val="00491BEF"/>
    <w:rsid w:val="0049254E"/>
    <w:rsid w:val="0049279B"/>
    <w:rsid w:val="004933F8"/>
    <w:rsid w:val="00495A82"/>
    <w:rsid w:val="004A33A9"/>
    <w:rsid w:val="004A4805"/>
    <w:rsid w:val="004A58AB"/>
    <w:rsid w:val="004B56C3"/>
    <w:rsid w:val="004B57A3"/>
    <w:rsid w:val="004B6AF5"/>
    <w:rsid w:val="004B7E53"/>
    <w:rsid w:val="004C0F71"/>
    <w:rsid w:val="004C1D4E"/>
    <w:rsid w:val="004C4124"/>
    <w:rsid w:val="004C6ABD"/>
    <w:rsid w:val="004D0D49"/>
    <w:rsid w:val="004D1EA7"/>
    <w:rsid w:val="004D3648"/>
    <w:rsid w:val="004D42D0"/>
    <w:rsid w:val="004D4ABA"/>
    <w:rsid w:val="004D5E24"/>
    <w:rsid w:val="004D5F92"/>
    <w:rsid w:val="004E275F"/>
    <w:rsid w:val="004E5CCC"/>
    <w:rsid w:val="004E7CA6"/>
    <w:rsid w:val="004F2003"/>
    <w:rsid w:val="004F23AD"/>
    <w:rsid w:val="004F3D99"/>
    <w:rsid w:val="00500DF3"/>
    <w:rsid w:val="00502139"/>
    <w:rsid w:val="005029FB"/>
    <w:rsid w:val="00505B0F"/>
    <w:rsid w:val="005060C2"/>
    <w:rsid w:val="00510DCB"/>
    <w:rsid w:val="00514FA8"/>
    <w:rsid w:val="00524455"/>
    <w:rsid w:val="005264F9"/>
    <w:rsid w:val="005273A3"/>
    <w:rsid w:val="005304F9"/>
    <w:rsid w:val="00532A49"/>
    <w:rsid w:val="00533F07"/>
    <w:rsid w:val="00534CFF"/>
    <w:rsid w:val="00534EF7"/>
    <w:rsid w:val="005409C2"/>
    <w:rsid w:val="005423F6"/>
    <w:rsid w:val="00542F38"/>
    <w:rsid w:val="005449D2"/>
    <w:rsid w:val="005450D2"/>
    <w:rsid w:val="00547630"/>
    <w:rsid w:val="00547E9D"/>
    <w:rsid w:val="0055096A"/>
    <w:rsid w:val="00554895"/>
    <w:rsid w:val="00563C0C"/>
    <w:rsid w:val="00566F6B"/>
    <w:rsid w:val="00570AFF"/>
    <w:rsid w:val="00572FE2"/>
    <w:rsid w:val="00574509"/>
    <w:rsid w:val="00576CFB"/>
    <w:rsid w:val="00581437"/>
    <w:rsid w:val="00587895"/>
    <w:rsid w:val="0059107C"/>
    <w:rsid w:val="00593CE5"/>
    <w:rsid w:val="005A65B8"/>
    <w:rsid w:val="005B3786"/>
    <w:rsid w:val="005B38E7"/>
    <w:rsid w:val="005B3E99"/>
    <w:rsid w:val="005B50F8"/>
    <w:rsid w:val="005B659D"/>
    <w:rsid w:val="005C1964"/>
    <w:rsid w:val="005C78C3"/>
    <w:rsid w:val="005D0CE6"/>
    <w:rsid w:val="005D18F0"/>
    <w:rsid w:val="005D2E50"/>
    <w:rsid w:val="005D2FD7"/>
    <w:rsid w:val="005D339A"/>
    <w:rsid w:val="005E2996"/>
    <w:rsid w:val="005E5BC8"/>
    <w:rsid w:val="005E7146"/>
    <w:rsid w:val="005F1A8F"/>
    <w:rsid w:val="005F51A9"/>
    <w:rsid w:val="00600204"/>
    <w:rsid w:val="00603D21"/>
    <w:rsid w:val="006177F7"/>
    <w:rsid w:val="00620177"/>
    <w:rsid w:val="006208E6"/>
    <w:rsid w:val="00622346"/>
    <w:rsid w:val="00623BFF"/>
    <w:rsid w:val="00623E7F"/>
    <w:rsid w:val="006278CF"/>
    <w:rsid w:val="00630705"/>
    <w:rsid w:val="006355CD"/>
    <w:rsid w:val="0063612C"/>
    <w:rsid w:val="00637674"/>
    <w:rsid w:val="006502FF"/>
    <w:rsid w:val="006535DC"/>
    <w:rsid w:val="00655E39"/>
    <w:rsid w:val="006579F5"/>
    <w:rsid w:val="006717BA"/>
    <w:rsid w:val="006765C0"/>
    <w:rsid w:val="006767C3"/>
    <w:rsid w:val="00680395"/>
    <w:rsid w:val="00681EB1"/>
    <w:rsid w:val="00682A76"/>
    <w:rsid w:val="00682D27"/>
    <w:rsid w:val="00684784"/>
    <w:rsid w:val="00695DB1"/>
    <w:rsid w:val="006A0285"/>
    <w:rsid w:val="006A0332"/>
    <w:rsid w:val="006A0B74"/>
    <w:rsid w:val="006A1314"/>
    <w:rsid w:val="006A2C9C"/>
    <w:rsid w:val="006A5D36"/>
    <w:rsid w:val="006A7DE2"/>
    <w:rsid w:val="006B1ECE"/>
    <w:rsid w:val="006B3B98"/>
    <w:rsid w:val="006B3F20"/>
    <w:rsid w:val="006B5AE7"/>
    <w:rsid w:val="006C03A4"/>
    <w:rsid w:val="006C255E"/>
    <w:rsid w:val="006D48D2"/>
    <w:rsid w:val="006E1121"/>
    <w:rsid w:val="006E37E5"/>
    <w:rsid w:val="006E3AD5"/>
    <w:rsid w:val="006E4FB3"/>
    <w:rsid w:val="006E5114"/>
    <w:rsid w:val="006E53C1"/>
    <w:rsid w:val="00701FF5"/>
    <w:rsid w:val="00703A3E"/>
    <w:rsid w:val="00706CEA"/>
    <w:rsid w:val="00707986"/>
    <w:rsid w:val="00711122"/>
    <w:rsid w:val="007143C1"/>
    <w:rsid w:val="00716927"/>
    <w:rsid w:val="00724549"/>
    <w:rsid w:val="00725AF0"/>
    <w:rsid w:val="0073165F"/>
    <w:rsid w:val="007350B1"/>
    <w:rsid w:val="007355F0"/>
    <w:rsid w:val="00744731"/>
    <w:rsid w:val="00750B64"/>
    <w:rsid w:val="0075315E"/>
    <w:rsid w:val="00754E45"/>
    <w:rsid w:val="007550E7"/>
    <w:rsid w:val="007577AF"/>
    <w:rsid w:val="00757FDF"/>
    <w:rsid w:val="007659D3"/>
    <w:rsid w:val="0076651D"/>
    <w:rsid w:val="0077170D"/>
    <w:rsid w:val="00773F7B"/>
    <w:rsid w:val="007765CC"/>
    <w:rsid w:val="0077727B"/>
    <w:rsid w:val="0078046C"/>
    <w:rsid w:val="00782B85"/>
    <w:rsid w:val="007830E9"/>
    <w:rsid w:val="00785EC3"/>
    <w:rsid w:val="00786C41"/>
    <w:rsid w:val="007877AE"/>
    <w:rsid w:val="007946BE"/>
    <w:rsid w:val="00794CCC"/>
    <w:rsid w:val="007960C7"/>
    <w:rsid w:val="00796571"/>
    <w:rsid w:val="007A0A0C"/>
    <w:rsid w:val="007A5C44"/>
    <w:rsid w:val="007B4515"/>
    <w:rsid w:val="007B60B0"/>
    <w:rsid w:val="007B6A95"/>
    <w:rsid w:val="007C1170"/>
    <w:rsid w:val="007C154A"/>
    <w:rsid w:val="007C55C6"/>
    <w:rsid w:val="007C56C0"/>
    <w:rsid w:val="007D2341"/>
    <w:rsid w:val="007D2658"/>
    <w:rsid w:val="007D55FC"/>
    <w:rsid w:val="007D6524"/>
    <w:rsid w:val="007E0822"/>
    <w:rsid w:val="007E6881"/>
    <w:rsid w:val="007E6C81"/>
    <w:rsid w:val="007F0806"/>
    <w:rsid w:val="007F4B91"/>
    <w:rsid w:val="0080000C"/>
    <w:rsid w:val="00801420"/>
    <w:rsid w:val="00803EA4"/>
    <w:rsid w:val="00805D43"/>
    <w:rsid w:val="00806764"/>
    <w:rsid w:val="008124B5"/>
    <w:rsid w:val="00814992"/>
    <w:rsid w:val="00827DBF"/>
    <w:rsid w:val="00827E3D"/>
    <w:rsid w:val="008305FE"/>
    <w:rsid w:val="00833A22"/>
    <w:rsid w:val="00835611"/>
    <w:rsid w:val="00836367"/>
    <w:rsid w:val="00837222"/>
    <w:rsid w:val="00840089"/>
    <w:rsid w:val="00843972"/>
    <w:rsid w:val="00843F0A"/>
    <w:rsid w:val="00845850"/>
    <w:rsid w:val="00845B49"/>
    <w:rsid w:val="00846BAA"/>
    <w:rsid w:val="008521DD"/>
    <w:rsid w:val="00855F46"/>
    <w:rsid w:val="00862150"/>
    <w:rsid w:val="00871A9D"/>
    <w:rsid w:val="0087700D"/>
    <w:rsid w:val="00877E1C"/>
    <w:rsid w:val="0088054D"/>
    <w:rsid w:val="00886480"/>
    <w:rsid w:val="00886AFE"/>
    <w:rsid w:val="00886F2C"/>
    <w:rsid w:val="00887CD9"/>
    <w:rsid w:val="0089632C"/>
    <w:rsid w:val="008A4BA4"/>
    <w:rsid w:val="008A5B78"/>
    <w:rsid w:val="008B1137"/>
    <w:rsid w:val="008B22A2"/>
    <w:rsid w:val="008B22FA"/>
    <w:rsid w:val="008B42FB"/>
    <w:rsid w:val="008C0E90"/>
    <w:rsid w:val="008C4846"/>
    <w:rsid w:val="008C4E02"/>
    <w:rsid w:val="008C7DFE"/>
    <w:rsid w:val="008D1263"/>
    <w:rsid w:val="008D12FA"/>
    <w:rsid w:val="008D1E8F"/>
    <w:rsid w:val="008D26F5"/>
    <w:rsid w:val="008D388E"/>
    <w:rsid w:val="008D4395"/>
    <w:rsid w:val="008E5656"/>
    <w:rsid w:val="008F1A89"/>
    <w:rsid w:val="008F5344"/>
    <w:rsid w:val="00901A09"/>
    <w:rsid w:val="00904DA6"/>
    <w:rsid w:val="00906AB0"/>
    <w:rsid w:val="00912DB1"/>
    <w:rsid w:val="009154C0"/>
    <w:rsid w:val="009168A1"/>
    <w:rsid w:val="0092646E"/>
    <w:rsid w:val="0092665C"/>
    <w:rsid w:val="0092779C"/>
    <w:rsid w:val="0093498F"/>
    <w:rsid w:val="00937895"/>
    <w:rsid w:val="009432C5"/>
    <w:rsid w:val="00951B7B"/>
    <w:rsid w:val="00954C52"/>
    <w:rsid w:val="009564ED"/>
    <w:rsid w:val="00960B1A"/>
    <w:rsid w:val="00963ACA"/>
    <w:rsid w:val="00963BA8"/>
    <w:rsid w:val="00965636"/>
    <w:rsid w:val="00966865"/>
    <w:rsid w:val="009736E7"/>
    <w:rsid w:val="00974ACC"/>
    <w:rsid w:val="00975708"/>
    <w:rsid w:val="00984F12"/>
    <w:rsid w:val="00991C41"/>
    <w:rsid w:val="0099369A"/>
    <w:rsid w:val="009A1D63"/>
    <w:rsid w:val="009A5B17"/>
    <w:rsid w:val="009A69F0"/>
    <w:rsid w:val="009A75E9"/>
    <w:rsid w:val="009A7AF3"/>
    <w:rsid w:val="009C1E5D"/>
    <w:rsid w:val="009C6222"/>
    <w:rsid w:val="009D0303"/>
    <w:rsid w:val="009D274F"/>
    <w:rsid w:val="009D6F15"/>
    <w:rsid w:val="009E0630"/>
    <w:rsid w:val="009E1F1B"/>
    <w:rsid w:val="009E251A"/>
    <w:rsid w:val="009F184F"/>
    <w:rsid w:val="009F26F9"/>
    <w:rsid w:val="009F34E4"/>
    <w:rsid w:val="009F4A0A"/>
    <w:rsid w:val="009F78E2"/>
    <w:rsid w:val="00A04898"/>
    <w:rsid w:val="00A05319"/>
    <w:rsid w:val="00A12F8B"/>
    <w:rsid w:val="00A14ED3"/>
    <w:rsid w:val="00A17CDC"/>
    <w:rsid w:val="00A2014E"/>
    <w:rsid w:val="00A336ED"/>
    <w:rsid w:val="00A33E46"/>
    <w:rsid w:val="00A36E71"/>
    <w:rsid w:val="00A3771B"/>
    <w:rsid w:val="00A40FD9"/>
    <w:rsid w:val="00A4219E"/>
    <w:rsid w:val="00A476DA"/>
    <w:rsid w:val="00A50221"/>
    <w:rsid w:val="00A5196F"/>
    <w:rsid w:val="00A5416F"/>
    <w:rsid w:val="00A560C0"/>
    <w:rsid w:val="00A624C9"/>
    <w:rsid w:val="00A72236"/>
    <w:rsid w:val="00A7616A"/>
    <w:rsid w:val="00A86E6C"/>
    <w:rsid w:val="00A87264"/>
    <w:rsid w:val="00A919C2"/>
    <w:rsid w:val="00A9213F"/>
    <w:rsid w:val="00A944AB"/>
    <w:rsid w:val="00A96BE8"/>
    <w:rsid w:val="00AA0227"/>
    <w:rsid w:val="00AA16C5"/>
    <w:rsid w:val="00AA414A"/>
    <w:rsid w:val="00AB3D1E"/>
    <w:rsid w:val="00AB6104"/>
    <w:rsid w:val="00AC1FEB"/>
    <w:rsid w:val="00AC5C5E"/>
    <w:rsid w:val="00AD0110"/>
    <w:rsid w:val="00AD0715"/>
    <w:rsid w:val="00AD4CD0"/>
    <w:rsid w:val="00AD5DF6"/>
    <w:rsid w:val="00AD6A55"/>
    <w:rsid w:val="00AD7FC2"/>
    <w:rsid w:val="00AE1A76"/>
    <w:rsid w:val="00AE3452"/>
    <w:rsid w:val="00AE6C33"/>
    <w:rsid w:val="00AE6FA6"/>
    <w:rsid w:val="00AE798B"/>
    <w:rsid w:val="00AF08F9"/>
    <w:rsid w:val="00AF1150"/>
    <w:rsid w:val="00AF14D6"/>
    <w:rsid w:val="00AF5615"/>
    <w:rsid w:val="00AF7620"/>
    <w:rsid w:val="00B00374"/>
    <w:rsid w:val="00B025C3"/>
    <w:rsid w:val="00B07AB1"/>
    <w:rsid w:val="00B07E81"/>
    <w:rsid w:val="00B114F1"/>
    <w:rsid w:val="00B17FD6"/>
    <w:rsid w:val="00B236FD"/>
    <w:rsid w:val="00B25FF7"/>
    <w:rsid w:val="00B277AB"/>
    <w:rsid w:val="00B27A06"/>
    <w:rsid w:val="00B27B95"/>
    <w:rsid w:val="00B36650"/>
    <w:rsid w:val="00B404EA"/>
    <w:rsid w:val="00B40596"/>
    <w:rsid w:val="00B41BA5"/>
    <w:rsid w:val="00B477F8"/>
    <w:rsid w:val="00B50E33"/>
    <w:rsid w:val="00B50FD4"/>
    <w:rsid w:val="00B523A9"/>
    <w:rsid w:val="00B535EF"/>
    <w:rsid w:val="00B53C37"/>
    <w:rsid w:val="00B53CFB"/>
    <w:rsid w:val="00B60249"/>
    <w:rsid w:val="00B641CB"/>
    <w:rsid w:val="00B652BE"/>
    <w:rsid w:val="00B65663"/>
    <w:rsid w:val="00B70AD3"/>
    <w:rsid w:val="00B757FD"/>
    <w:rsid w:val="00B75B87"/>
    <w:rsid w:val="00B75EB1"/>
    <w:rsid w:val="00B808CE"/>
    <w:rsid w:val="00B827C8"/>
    <w:rsid w:val="00B84AF5"/>
    <w:rsid w:val="00B84EB6"/>
    <w:rsid w:val="00B85AC6"/>
    <w:rsid w:val="00B87214"/>
    <w:rsid w:val="00B91802"/>
    <w:rsid w:val="00BA1DC3"/>
    <w:rsid w:val="00BA76DA"/>
    <w:rsid w:val="00BB29C8"/>
    <w:rsid w:val="00BB78B7"/>
    <w:rsid w:val="00BC22FD"/>
    <w:rsid w:val="00BD34BB"/>
    <w:rsid w:val="00BD4BE0"/>
    <w:rsid w:val="00BE0845"/>
    <w:rsid w:val="00BE5DFB"/>
    <w:rsid w:val="00BF0DC5"/>
    <w:rsid w:val="00BF1F3C"/>
    <w:rsid w:val="00BF4EA9"/>
    <w:rsid w:val="00BF58AC"/>
    <w:rsid w:val="00C017C3"/>
    <w:rsid w:val="00C01984"/>
    <w:rsid w:val="00C02DD1"/>
    <w:rsid w:val="00C0362D"/>
    <w:rsid w:val="00C04CAF"/>
    <w:rsid w:val="00C06441"/>
    <w:rsid w:val="00C12F2E"/>
    <w:rsid w:val="00C1344E"/>
    <w:rsid w:val="00C15C6A"/>
    <w:rsid w:val="00C17C84"/>
    <w:rsid w:val="00C21E6E"/>
    <w:rsid w:val="00C236DD"/>
    <w:rsid w:val="00C25B69"/>
    <w:rsid w:val="00C301D4"/>
    <w:rsid w:val="00C30279"/>
    <w:rsid w:val="00C30811"/>
    <w:rsid w:val="00C3341E"/>
    <w:rsid w:val="00C40DB0"/>
    <w:rsid w:val="00C4681E"/>
    <w:rsid w:val="00C47103"/>
    <w:rsid w:val="00C475B2"/>
    <w:rsid w:val="00C47767"/>
    <w:rsid w:val="00C60C57"/>
    <w:rsid w:val="00C61C0A"/>
    <w:rsid w:val="00C641D6"/>
    <w:rsid w:val="00C64F12"/>
    <w:rsid w:val="00C664B7"/>
    <w:rsid w:val="00C6765A"/>
    <w:rsid w:val="00C67D41"/>
    <w:rsid w:val="00C70E79"/>
    <w:rsid w:val="00C71081"/>
    <w:rsid w:val="00C71118"/>
    <w:rsid w:val="00C803CB"/>
    <w:rsid w:val="00C83AE6"/>
    <w:rsid w:val="00C83FF0"/>
    <w:rsid w:val="00C845EA"/>
    <w:rsid w:val="00C8530F"/>
    <w:rsid w:val="00C8776C"/>
    <w:rsid w:val="00C929D0"/>
    <w:rsid w:val="00C9322B"/>
    <w:rsid w:val="00CA0A27"/>
    <w:rsid w:val="00CA117F"/>
    <w:rsid w:val="00CA3486"/>
    <w:rsid w:val="00CA41D9"/>
    <w:rsid w:val="00CA49EA"/>
    <w:rsid w:val="00CA6859"/>
    <w:rsid w:val="00CA7764"/>
    <w:rsid w:val="00CB5A42"/>
    <w:rsid w:val="00CB78AD"/>
    <w:rsid w:val="00CC0066"/>
    <w:rsid w:val="00CC1E1B"/>
    <w:rsid w:val="00CC2E98"/>
    <w:rsid w:val="00CC438F"/>
    <w:rsid w:val="00CD0E02"/>
    <w:rsid w:val="00CD1AE5"/>
    <w:rsid w:val="00CD41E6"/>
    <w:rsid w:val="00CD51F4"/>
    <w:rsid w:val="00CE1A8D"/>
    <w:rsid w:val="00CE2D01"/>
    <w:rsid w:val="00CF37E2"/>
    <w:rsid w:val="00CF4DF5"/>
    <w:rsid w:val="00CF6DF6"/>
    <w:rsid w:val="00CF6FEA"/>
    <w:rsid w:val="00D04231"/>
    <w:rsid w:val="00D0657E"/>
    <w:rsid w:val="00D11D4A"/>
    <w:rsid w:val="00D14DA2"/>
    <w:rsid w:val="00D170E9"/>
    <w:rsid w:val="00D23165"/>
    <w:rsid w:val="00D238E0"/>
    <w:rsid w:val="00D261D7"/>
    <w:rsid w:val="00D35BC0"/>
    <w:rsid w:val="00D41531"/>
    <w:rsid w:val="00D41786"/>
    <w:rsid w:val="00D42431"/>
    <w:rsid w:val="00D43F38"/>
    <w:rsid w:val="00D4488F"/>
    <w:rsid w:val="00D45BBC"/>
    <w:rsid w:val="00D5035A"/>
    <w:rsid w:val="00D74931"/>
    <w:rsid w:val="00D8606C"/>
    <w:rsid w:val="00D86EB2"/>
    <w:rsid w:val="00D87077"/>
    <w:rsid w:val="00D872E2"/>
    <w:rsid w:val="00D92B90"/>
    <w:rsid w:val="00D951FB"/>
    <w:rsid w:val="00D970F8"/>
    <w:rsid w:val="00DA0199"/>
    <w:rsid w:val="00DA0D94"/>
    <w:rsid w:val="00DB5F7B"/>
    <w:rsid w:val="00DB64F6"/>
    <w:rsid w:val="00DB6843"/>
    <w:rsid w:val="00DB6F76"/>
    <w:rsid w:val="00DC1F59"/>
    <w:rsid w:val="00DC5B7E"/>
    <w:rsid w:val="00DC622F"/>
    <w:rsid w:val="00DD01BA"/>
    <w:rsid w:val="00DD3367"/>
    <w:rsid w:val="00DD4220"/>
    <w:rsid w:val="00DD5207"/>
    <w:rsid w:val="00DD6DD9"/>
    <w:rsid w:val="00DE35C4"/>
    <w:rsid w:val="00DE7A25"/>
    <w:rsid w:val="00DF2D62"/>
    <w:rsid w:val="00E00051"/>
    <w:rsid w:val="00E02F69"/>
    <w:rsid w:val="00E03839"/>
    <w:rsid w:val="00E057D1"/>
    <w:rsid w:val="00E058E4"/>
    <w:rsid w:val="00E06089"/>
    <w:rsid w:val="00E116C0"/>
    <w:rsid w:val="00E12B40"/>
    <w:rsid w:val="00E13AE5"/>
    <w:rsid w:val="00E206F5"/>
    <w:rsid w:val="00E21352"/>
    <w:rsid w:val="00E23270"/>
    <w:rsid w:val="00E26C66"/>
    <w:rsid w:val="00E30F7E"/>
    <w:rsid w:val="00E33B59"/>
    <w:rsid w:val="00E37E31"/>
    <w:rsid w:val="00E44AFF"/>
    <w:rsid w:val="00E46327"/>
    <w:rsid w:val="00E51299"/>
    <w:rsid w:val="00E51F15"/>
    <w:rsid w:val="00E5407E"/>
    <w:rsid w:val="00E547A1"/>
    <w:rsid w:val="00E56D01"/>
    <w:rsid w:val="00E576C3"/>
    <w:rsid w:val="00E60484"/>
    <w:rsid w:val="00E616D8"/>
    <w:rsid w:val="00E63217"/>
    <w:rsid w:val="00E64958"/>
    <w:rsid w:val="00E70873"/>
    <w:rsid w:val="00E74FC6"/>
    <w:rsid w:val="00E76969"/>
    <w:rsid w:val="00E76D25"/>
    <w:rsid w:val="00E80994"/>
    <w:rsid w:val="00E81B53"/>
    <w:rsid w:val="00E86D71"/>
    <w:rsid w:val="00E9038A"/>
    <w:rsid w:val="00E97E3F"/>
    <w:rsid w:val="00EA0C6A"/>
    <w:rsid w:val="00EA16D3"/>
    <w:rsid w:val="00EA3E87"/>
    <w:rsid w:val="00EA5515"/>
    <w:rsid w:val="00EA6604"/>
    <w:rsid w:val="00EA6741"/>
    <w:rsid w:val="00EA78DB"/>
    <w:rsid w:val="00EA7926"/>
    <w:rsid w:val="00EB00D8"/>
    <w:rsid w:val="00EC0699"/>
    <w:rsid w:val="00EC38FA"/>
    <w:rsid w:val="00EC5E5B"/>
    <w:rsid w:val="00ED2855"/>
    <w:rsid w:val="00EE0706"/>
    <w:rsid w:val="00EE07FC"/>
    <w:rsid w:val="00EE33C1"/>
    <w:rsid w:val="00EF270C"/>
    <w:rsid w:val="00EF7444"/>
    <w:rsid w:val="00F03C77"/>
    <w:rsid w:val="00F04281"/>
    <w:rsid w:val="00F14441"/>
    <w:rsid w:val="00F152B9"/>
    <w:rsid w:val="00F1719F"/>
    <w:rsid w:val="00F178B2"/>
    <w:rsid w:val="00F20371"/>
    <w:rsid w:val="00F20C71"/>
    <w:rsid w:val="00F20E5A"/>
    <w:rsid w:val="00F22440"/>
    <w:rsid w:val="00F2393A"/>
    <w:rsid w:val="00F315D5"/>
    <w:rsid w:val="00F34259"/>
    <w:rsid w:val="00F345CC"/>
    <w:rsid w:val="00F352D5"/>
    <w:rsid w:val="00F4154D"/>
    <w:rsid w:val="00F4170C"/>
    <w:rsid w:val="00F42928"/>
    <w:rsid w:val="00F47D6A"/>
    <w:rsid w:val="00F6133E"/>
    <w:rsid w:val="00F61D2F"/>
    <w:rsid w:val="00F6287C"/>
    <w:rsid w:val="00F632DA"/>
    <w:rsid w:val="00F63F6D"/>
    <w:rsid w:val="00F65783"/>
    <w:rsid w:val="00F66FF3"/>
    <w:rsid w:val="00F70171"/>
    <w:rsid w:val="00F70DB9"/>
    <w:rsid w:val="00F70E91"/>
    <w:rsid w:val="00F71274"/>
    <w:rsid w:val="00F73802"/>
    <w:rsid w:val="00F74848"/>
    <w:rsid w:val="00F762D9"/>
    <w:rsid w:val="00F772E3"/>
    <w:rsid w:val="00F80688"/>
    <w:rsid w:val="00F828FB"/>
    <w:rsid w:val="00F940EA"/>
    <w:rsid w:val="00F978F4"/>
    <w:rsid w:val="00FA4BD1"/>
    <w:rsid w:val="00FC2969"/>
    <w:rsid w:val="00FC2982"/>
    <w:rsid w:val="00FC486E"/>
    <w:rsid w:val="00FC505A"/>
    <w:rsid w:val="00FC58FA"/>
    <w:rsid w:val="00FC7C38"/>
    <w:rsid w:val="00FD567B"/>
    <w:rsid w:val="00FD68D3"/>
    <w:rsid w:val="00FD76D6"/>
    <w:rsid w:val="00FE4A69"/>
    <w:rsid w:val="00FE6283"/>
    <w:rsid w:val="00FE75D0"/>
    <w:rsid w:val="00FF0DCC"/>
    <w:rsid w:val="00FF14BC"/>
    <w:rsid w:val="00FF1CC5"/>
    <w:rsid w:val="00FF38D0"/>
    <w:rsid w:val="00FF4264"/>
    <w:rsid w:val="02736CFE"/>
    <w:rsid w:val="0572FBCD"/>
    <w:rsid w:val="05D4317A"/>
    <w:rsid w:val="05F614E8"/>
    <w:rsid w:val="0695B3AF"/>
    <w:rsid w:val="0AACEFB6"/>
    <w:rsid w:val="0C07D54A"/>
    <w:rsid w:val="11A14850"/>
    <w:rsid w:val="15CCAB61"/>
    <w:rsid w:val="1662A967"/>
    <w:rsid w:val="18B89065"/>
    <w:rsid w:val="18DB445B"/>
    <w:rsid w:val="1909FE3A"/>
    <w:rsid w:val="1B6A7972"/>
    <w:rsid w:val="1BA3DBE9"/>
    <w:rsid w:val="1CB277BC"/>
    <w:rsid w:val="1CBFAE1B"/>
    <w:rsid w:val="1D0B2B4E"/>
    <w:rsid w:val="1FC5A306"/>
    <w:rsid w:val="221527D7"/>
    <w:rsid w:val="295481A3"/>
    <w:rsid w:val="2C18F6F1"/>
    <w:rsid w:val="2EE2A189"/>
    <w:rsid w:val="320859BB"/>
    <w:rsid w:val="36FAF1EC"/>
    <w:rsid w:val="373F0AE3"/>
    <w:rsid w:val="38517524"/>
    <w:rsid w:val="38EACCC6"/>
    <w:rsid w:val="3C82E808"/>
    <w:rsid w:val="427AB621"/>
    <w:rsid w:val="43249425"/>
    <w:rsid w:val="43FC2953"/>
    <w:rsid w:val="44E4D50C"/>
    <w:rsid w:val="451F3FC3"/>
    <w:rsid w:val="4736670A"/>
    <w:rsid w:val="4916F246"/>
    <w:rsid w:val="4E696227"/>
    <w:rsid w:val="503E4CBF"/>
    <w:rsid w:val="531A5E4E"/>
    <w:rsid w:val="53AE137D"/>
    <w:rsid w:val="5459634A"/>
    <w:rsid w:val="57CA9ADE"/>
    <w:rsid w:val="5ADCAFC2"/>
    <w:rsid w:val="5D39A0DB"/>
    <w:rsid w:val="5E7473CD"/>
    <w:rsid w:val="60AEF523"/>
    <w:rsid w:val="64812D2F"/>
    <w:rsid w:val="6664F333"/>
    <w:rsid w:val="672F576C"/>
    <w:rsid w:val="6B44AD1D"/>
    <w:rsid w:val="6EA3A0E8"/>
    <w:rsid w:val="6F125DEF"/>
    <w:rsid w:val="6F7AB9B4"/>
    <w:rsid w:val="6FC70127"/>
    <w:rsid w:val="729539B1"/>
    <w:rsid w:val="78DC1687"/>
    <w:rsid w:val="79BF941C"/>
    <w:rsid w:val="7A002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E1EC3"/>
  <w15:chartTrackingRefBased/>
  <w15:docId w15:val="{7E0512C3-B3E9-40D1-B09D-6C93D3F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221"/>
  </w:style>
  <w:style w:type="paragraph" w:styleId="Ttulo1">
    <w:name w:val="heading 1"/>
    <w:basedOn w:val="Normal"/>
    <w:next w:val="Normal"/>
    <w:link w:val="Ttulo1Char"/>
    <w:uiPriority w:val="9"/>
    <w:qFormat/>
    <w:rsid w:val="002A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52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52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52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52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52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52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52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52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52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52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52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52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52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52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52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523F"/>
    <w:rPr>
      <w:rFonts w:eastAsiaTheme="majorEastAsia" w:cstheme="majorBidi"/>
      <w:color w:val="272727" w:themeColor="text1" w:themeTint="D8"/>
    </w:rPr>
  </w:style>
  <w:style w:type="paragraph" w:styleId="Ttulo">
    <w:name w:val="Title"/>
    <w:basedOn w:val="Normal"/>
    <w:next w:val="Normal"/>
    <w:link w:val="TtuloChar"/>
    <w:uiPriority w:val="10"/>
    <w:qFormat/>
    <w:rsid w:val="002A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5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52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52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523F"/>
    <w:pPr>
      <w:spacing w:before="160"/>
      <w:jc w:val="center"/>
    </w:pPr>
    <w:rPr>
      <w:i/>
      <w:iCs/>
      <w:color w:val="404040" w:themeColor="text1" w:themeTint="BF"/>
    </w:rPr>
  </w:style>
  <w:style w:type="character" w:customStyle="1" w:styleId="CitaoChar">
    <w:name w:val="Citação Char"/>
    <w:basedOn w:val="Fontepargpadro"/>
    <w:link w:val="Citao"/>
    <w:uiPriority w:val="29"/>
    <w:rsid w:val="002A523F"/>
    <w:rPr>
      <w:i/>
      <w:iCs/>
      <w:color w:val="404040" w:themeColor="text1" w:themeTint="BF"/>
    </w:rPr>
  </w:style>
  <w:style w:type="paragraph" w:styleId="PargrafodaLista">
    <w:name w:val="List Paragraph"/>
    <w:basedOn w:val="Normal"/>
    <w:uiPriority w:val="34"/>
    <w:qFormat/>
    <w:rsid w:val="002A523F"/>
    <w:pPr>
      <w:ind w:left="720"/>
      <w:contextualSpacing/>
    </w:pPr>
  </w:style>
  <w:style w:type="character" w:styleId="nfaseIntensa">
    <w:name w:val="Intense Emphasis"/>
    <w:basedOn w:val="Fontepargpadro"/>
    <w:uiPriority w:val="21"/>
    <w:qFormat/>
    <w:rsid w:val="002A523F"/>
    <w:rPr>
      <w:i/>
      <w:iCs/>
      <w:color w:val="0F4761" w:themeColor="accent1" w:themeShade="BF"/>
    </w:rPr>
  </w:style>
  <w:style w:type="paragraph" w:styleId="CitaoIntensa">
    <w:name w:val="Intense Quote"/>
    <w:basedOn w:val="Normal"/>
    <w:next w:val="Normal"/>
    <w:link w:val="CitaoIntensaChar"/>
    <w:uiPriority w:val="30"/>
    <w:qFormat/>
    <w:rsid w:val="002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523F"/>
    <w:rPr>
      <w:i/>
      <w:iCs/>
      <w:color w:val="0F4761" w:themeColor="accent1" w:themeShade="BF"/>
    </w:rPr>
  </w:style>
  <w:style w:type="character" w:styleId="RefernciaIntensa">
    <w:name w:val="Intense Reference"/>
    <w:basedOn w:val="Fontepargpadro"/>
    <w:uiPriority w:val="32"/>
    <w:qFormat/>
    <w:rsid w:val="002A523F"/>
    <w:rPr>
      <w:b/>
      <w:bCs/>
      <w:smallCaps/>
      <w:color w:val="0F4761" w:themeColor="accent1" w:themeShade="BF"/>
      <w:spacing w:val="5"/>
    </w:rPr>
  </w:style>
  <w:style w:type="table" w:styleId="Tabelacomgrade">
    <w:name w:val="Table Grid"/>
    <w:basedOn w:val="Tabelanormal"/>
    <w:rsid w:val="0029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Nivel 1,gráfico,DOC - Legenda Título,Legenda Fotos,Legenda Char Char Char Char,Char,Legenda_Tec3,Leg_figura - Tec3,Tec3_figura,Legenda Char Char Char Char ,02_TABELA,Legenda_Mn,Legenda de FIGURA,Legenda Char Char Char,Legenda legenda lume"/>
    <w:basedOn w:val="Normal"/>
    <w:next w:val="Normal"/>
    <w:link w:val="LegendaChar"/>
    <w:uiPriority w:val="35"/>
    <w:unhideWhenUsed/>
    <w:qFormat/>
    <w:rsid w:val="002913A8"/>
    <w:pPr>
      <w:spacing w:after="200" w:line="240" w:lineRule="auto"/>
    </w:pPr>
    <w:rPr>
      <w:i/>
      <w:iCs/>
      <w:color w:val="0E2841" w:themeColor="text2"/>
      <w:sz w:val="18"/>
      <w:szCs w:val="18"/>
    </w:rPr>
  </w:style>
  <w:style w:type="character" w:customStyle="1" w:styleId="LegendaChar">
    <w:name w:val="Legenda Char"/>
    <w:aliases w:val="Nivel 1 Char,gráfico Char,DOC - Legenda Título Char,Legenda Fotos Char,Legenda Char Char Char Char Char,Char Char,Legenda_Tec3 Char,Leg_figura - Tec3 Char,Tec3_figura Char,Legenda Char Char Char Char  Char,02_TABELA Char,Legenda_Mn Char"/>
    <w:basedOn w:val="Fontepargpadro"/>
    <w:link w:val="Legenda"/>
    <w:uiPriority w:val="35"/>
    <w:rsid w:val="00FC2982"/>
    <w:rPr>
      <w:i/>
      <w:iCs/>
      <w:color w:val="0E2841" w:themeColor="text2"/>
      <w:sz w:val="18"/>
      <w:szCs w:val="18"/>
    </w:rPr>
  </w:style>
  <w:style w:type="character" w:customStyle="1" w:styleId="normaltextrun">
    <w:name w:val="normaltextrun"/>
    <w:basedOn w:val="Fontepargpadro"/>
    <w:rsid w:val="00294CCC"/>
  </w:style>
  <w:style w:type="paragraph" w:styleId="Cabealho">
    <w:name w:val="header"/>
    <w:basedOn w:val="Normal"/>
    <w:link w:val="CabealhoChar"/>
    <w:uiPriority w:val="99"/>
    <w:unhideWhenUsed/>
    <w:rsid w:val="001279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79EA"/>
  </w:style>
  <w:style w:type="paragraph" w:styleId="Rodap">
    <w:name w:val="footer"/>
    <w:basedOn w:val="Normal"/>
    <w:link w:val="RodapChar"/>
    <w:uiPriority w:val="99"/>
    <w:unhideWhenUsed/>
    <w:rsid w:val="001279EA"/>
    <w:pPr>
      <w:tabs>
        <w:tab w:val="center" w:pos="4252"/>
        <w:tab w:val="right" w:pos="8504"/>
      </w:tabs>
      <w:spacing w:after="0" w:line="240" w:lineRule="auto"/>
    </w:pPr>
  </w:style>
  <w:style w:type="character" w:customStyle="1" w:styleId="RodapChar">
    <w:name w:val="Rodapé Char"/>
    <w:basedOn w:val="Fontepargpadro"/>
    <w:link w:val="Rodap"/>
    <w:uiPriority w:val="99"/>
    <w:rsid w:val="001279EA"/>
  </w:style>
  <w:style w:type="character" w:customStyle="1" w:styleId="wacimagecontainer">
    <w:name w:val="wacimagecontainer"/>
    <w:basedOn w:val="Fontepargpadro"/>
    <w:rsid w:val="00C02DD1"/>
  </w:style>
  <w:style w:type="character" w:styleId="Hyperlink">
    <w:name w:val="Hyperlink"/>
    <w:basedOn w:val="Fontepargpadro"/>
    <w:uiPriority w:val="99"/>
    <w:unhideWhenUsed/>
    <w:rsid w:val="004152DA"/>
    <w:rPr>
      <w:color w:val="467886" w:themeColor="hyperlink"/>
      <w:u w:val="single"/>
    </w:rPr>
  </w:style>
  <w:style w:type="character" w:styleId="MenoPendente">
    <w:name w:val="Unresolved Mention"/>
    <w:basedOn w:val="Fontepargpadro"/>
    <w:uiPriority w:val="99"/>
    <w:semiHidden/>
    <w:unhideWhenUsed/>
    <w:rsid w:val="004152DA"/>
    <w:rPr>
      <w:color w:val="605E5C"/>
      <w:shd w:val="clear" w:color="auto" w:fill="E1DFDD"/>
    </w:rPr>
  </w:style>
  <w:style w:type="paragraph" w:styleId="Commarcadores">
    <w:name w:val="List Bullet"/>
    <w:basedOn w:val="Normal"/>
    <w:uiPriority w:val="99"/>
    <w:unhideWhenUsed/>
    <w:rsid w:val="004152DA"/>
    <w:pPr>
      <w:numPr>
        <w:numId w:val="20"/>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rticipante3@e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articipante2@e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rticipante1@e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6080f4f-3413-4275-83b6-94e1b2dc8c0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C5DA1BB1FB573488CC15F4307E23513" ma:contentTypeVersion="17" ma:contentTypeDescription="Crie um novo documento." ma:contentTypeScope="" ma:versionID="dcb0e997e288701e6d299db9a601f6b7">
  <xsd:schema xmlns:xsd="http://www.w3.org/2001/XMLSchema" xmlns:xs="http://www.w3.org/2001/XMLSchema" xmlns:p="http://schemas.microsoft.com/office/2006/metadata/properties" xmlns:ns1="http://schemas.microsoft.com/sharepoint/v3" xmlns:ns2="36080f4f-3413-4275-83b6-94e1b2dc8c0e" xmlns:ns3="b78071d3-dfea-4231-8b57-bda669c96ee0" targetNamespace="http://schemas.microsoft.com/office/2006/metadata/properties" ma:root="true" ma:fieldsID="f1d634025cf38d43a219f0a39503a3e6" ns1:_="" ns2:_="" ns3:_="">
    <xsd:import namespace="http://schemas.microsoft.com/sharepoint/v3"/>
    <xsd:import namespace="36080f4f-3413-4275-83b6-94e1b2dc8c0e"/>
    <xsd:import namespace="b78071d3-dfea-4231-8b57-bda669c96e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riedades da Política de Conformidade Unificada" ma:hidden="true" ma:internalName="_ip_UnifiedCompliancePolicyProperties">
      <xsd:simpleType>
        <xsd:restriction base="dms:Note"/>
      </xsd:simpleType>
    </xsd:element>
    <xsd:element name="_ip_UnifiedCompliancePolicyUIAction" ma:index="24"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80f4f-3413-4275-83b6-94e1b2dc8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bfb4e49-6f5d-460f-8245-f0e15177ea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071d3-dfea-4231-8b57-bda669c96ee0"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569A4-F040-44FB-A1FE-7AB5895F4D91}">
  <ds:schemaRefs>
    <ds:schemaRef ds:uri="http://schemas.microsoft.com/office/2006/metadata/properties"/>
    <ds:schemaRef ds:uri="http://schemas.microsoft.com/office/infopath/2007/PartnerControls"/>
    <ds:schemaRef ds:uri="36080f4f-3413-4275-83b6-94e1b2dc8c0e"/>
    <ds:schemaRef ds:uri="http://schemas.microsoft.com/sharepoint/v3"/>
  </ds:schemaRefs>
</ds:datastoreItem>
</file>

<file path=customXml/itemProps2.xml><?xml version="1.0" encoding="utf-8"?>
<ds:datastoreItem xmlns:ds="http://schemas.openxmlformats.org/officeDocument/2006/customXml" ds:itemID="{8EFB92AF-A17E-4BE2-BDBA-F879056129CE}">
  <ds:schemaRefs>
    <ds:schemaRef ds:uri="http://schemas.openxmlformats.org/officeDocument/2006/bibliography"/>
  </ds:schemaRefs>
</ds:datastoreItem>
</file>

<file path=customXml/itemProps3.xml><?xml version="1.0" encoding="utf-8"?>
<ds:datastoreItem xmlns:ds="http://schemas.openxmlformats.org/officeDocument/2006/customXml" ds:itemID="{07C8D78E-0815-4FB3-9C76-413F4CE0E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080f4f-3413-4275-83b6-94e1b2dc8c0e"/>
    <ds:schemaRef ds:uri="b78071d3-dfea-4231-8b57-bda669c96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8C9BA6-DBC6-4118-A19F-204258CCE42C}">
  <ds:schemaRefs>
    <ds:schemaRef ds:uri="http://schemas.microsoft.com/sharepoint/v3/contenttype/forms"/>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Normal.dotm</Template>
  <TotalTime>6327</TotalTime>
  <Pages>3</Pages>
  <Words>367</Words>
  <Characters>1983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Vale S.A.</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Miguel Silva</dc:creator>
  <cp:keywords/>
  <dc:description/>
  <cp:lastModifiedBy>Elisa Merces</cp:lastModifiedBy>
  <cp:revision>669</cp:revision>
  <dcterms:created xsi:type="dcterms:W3CDTF">2024-06-05T18:20:00Z</dcterms:created>
  <dcterms:modified xsi:type="dcterms:W3CDTF">2026-04-23T12:28:00Z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0x0101007C5DA1BB1FB573488CC15F4307E23513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211300</vt:r8>
  </property>
</Properties>
</file>