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lastRenderedPageBreak/>
        <w:t xml:space="preserve">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 xml:space="preserve">Breno Teodomiro de Carvalho Neto</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 xml:space="preserve">admbrenoteodomiro@hotmail.com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53 features — frequências de alarmes em janelas rolantes, fingerprint dos top-30 alarmes e contexto operacional (sem a flag do evento atual Is_Dont_Go, removida por ser vazamento concorrente) — alcançou F1-Score de 0,67 e ROC-AUC de 0,99 na predição de Don't Go com 60 minutos de antecedência (validação temporal estrita: treino Jan–Abr, validação Mai, teste Jun). O ganho de F1 sobre a heurística operacional tradicional é de +341%. O threshold de decisão é fixado na validação(Mai) e aplicado intacto ao teste (Jun), nunca selecionado no próprio teste. A análise multi-horizonte demonstra previsão robusta em até 240 minutos (ROC-AUC≈0,95 em 4h), cumprindo a promessa operacional do PRD. A análise de custo operacional (FN=R$50K, FP=R$800, razão 62,5×), medida por EPISÓDIO de Don't Go (1 episódio = 1 parada física, não por linha de telemetria), revela que o threshold custo-ótimo economiza ~R$26 milhões no mês de teste em relação ao threshold otimizado por F1, capturando ~99,9% das paradas reais.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18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(teste, threshold da validação)</w:t>
            </w:r>
          </w:p>
        </w:tc>
        <w:tc>
          <w:tcPr>
            <w:tcW w:type="dxa" w:w="2835"/>
          </w:tcPr>
          <w:p>
            <w:r>
              <w:t>0,674</w:t>
            </w:r>
          </w:p>
        </w:tc>
        <w:tc>
          <w:tcPr>
            <w:tcW w:type="dxa" w:w="2835"/>
          </w:tcPr>
          <w:p>
            <w:r>
              <w:t>+341% de F1 sobre a heurística operacional (regra F1=0,153); sem vazamento Is_Dont_Go (53 features)</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0,94 mantido em todos os horizontes</w:t>
            </w:r>
          </w:p>
        </w:tc>
      </w:tr>
      <w:tr>
        <w:tc>
          <w:tcPr>
            <w:tcW w:type="dxa" w:w="2835"/>
          </w:tcPr>
          <w:p>
            <w:r>
              <w:t>Economia estimada (Jun)</w:t>
            </w:r>
          </w:p>
        </w:tc>
        <w:tc>
          <w:tcPr>
            <w:tcW w:type="dxa" w:w="2835"/>
          </w:tcPr>
          <w:p>
            <w:r>
              <w:t>~R$ 26 milhões</w:t>
            </w:r>
          </w:p>
        </w:tc>
        <w:tc>
          <w:tcPr>
            <w:tcW w:type="dxa" w:w="2835"/>
          </w:tcPr>
          <w:p>
            <w:r>
              <w:t>Threshold custo-ótimo vs F1-ótimo, por EPISÓDIO de Don't Go,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18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Pergunta Analítica, Métrica de Sucesso e Cenário de Aplicação (CM 1.2)</w:t>
      </w:r>
    </w:p>
    <w:p>
      <w:r>
        <w:rPr>
          <w:sz w:val="22"/>
        </w:rPr>
        <w:t>Pergunta analítica central: quais equipamentos têm maior risco de gerar um alerta Don't Go nos próximos 60 a 240 minutos, considerando o padrão atual de alarmes e o estado operacional? A pergunta deriva diretamente do problema de negócio (antecipar a parada em vez de reagir a ela) e é mensurável: cada previsão pode ser confrontada com a ocorrência ou não do evento na janela.</w:t>
      </w:r>
    </w:p>
    <w:p>
      <w:pPr>
        <w:pStyle w:val="Commarcadores"/>
      </w:pPr>
      <w:r>
        <w:rPr>
          <w:sz w:val="22"/>
        </w:rPr>
        <w:t>Métrica de sucesso do negócio: percentual de episódios de Don't Go antecipados com pelo menos 60 minutos e custo evitado por parada. O problema é considerado 'resolvido' quando a maioria das paradas físicas é sinalizada com antecedência suficiente para ação preventiva — resultado alcançado: no regime custo-ótimo o modelo captura ~99,9% dos episódios do mês de teste, com economia estimada de ~R$26 milhões.</w:t>
      </w:r>
    </w:p>
    <w:p>
      <w:pPr>
        <w:pStyle w:val="Commarcadores"/>
      </w:pPr>
      <w:r>
        <w:rPr>
          <w:sz w:val="22"/>
        </w:rPr>
        <w:t>Métrica técnica associada: F1-Score e PR-AUC sobre o target is_dont_go_next_60m, avaliados sob validação temporal estrita (treino Jan–Abr, validação Mai, teste Jun) — métricas apropriadas para o desbalanceamento de 0,45% de positivos.</w:t>
      </w:r>
    </w:p>
    <w:p>
      <w:pPr>
        <w:pStyle w:val="Commarcadores"/>
      </w:pPr>
      <w:r>
        <w:rPr>
          <w:sz w:val="22"/>
        </w:rPr>
        <w:t>Cenário de aplicação: o score de risco é recalculado continuamente por equipamento e exibido ao despachante do centro de controle. Score acima do threshold da frota dispara alerta de inspeção preventiva com 1–4 horas de antecedência — janela suficiente para acionar a equipe de manutenção antes da parada não planejada. O dashboard Streamlit entregue demonstra exatamente essa interface de consumo, com ranking de risco e timeline por equipamento.</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Inspeção Inicial dos Dados (CM 2.1)</w:t>
      </w:r>
    </w:p>
    <w:p>
      <w:r>
        <w:rPr>
          <w:sz w:val="22"/>
        </w:rPr>
        <w:t>Antes de qualquer transformação, os dois datasets foram inspecionados na íntegra (shape, tipos, nulos, duplicatas e janela temporal) via DuckDB direto nos parquets originais — quantificação reproduzível por src/data_inspection.py:</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Dataset</w:t>
            </w:r>
          </w:p>
        </w:tc>
        <w:tc>
          <w:tcPr>
            <w:tcW w:type="dxa" w:w="1215"/>
          </w:tcPr>
          <w:p>
            <w:r>
              <w:rPr>
                <w:b/>
              </w:rPr>
              <w:t>Registros</w:t>
            </w:r>
          </w:p>
        </w:tc>
        <w:tc>
          <w:tcPr>
            <w:tcW w:type="dxa" w:w="1215"/>
          </w:tcPr>
          <w:p>
            <w:r>
              <w:rPr>
                <w:b/>
              </w:rPr>
              <w:t>Colunas</w:t>
            </w:r>
          </w:p>
        </w:tc>
        <w:tc>
          <w:tcPr>
            <w:tcW w:type="dxa" w:w="1215"/>
          </w:tcPr>
          <w:p>
            <w:r>
              <w:rPr>
                <w:b/>
              </w:rPr>
              <w:t>Período</w:t>
            </w:r>
          </w:p>
        </w:tc>
        <w:tc>
          <w:tcPr>
            <w:tcW w:type="dxa" w:w="1215"/>
          </w:tcPr>
          <w:p>
            <w:r>
              <w:rPr>
                <w:b/>
              </w:rPr>
              <w:t>Equipamentos</w:t>
            </w:r>
          </w:p>
        </w:tc>
        <w:tc>
          <w:tcPr>
            <w:tcW w:type="dxa" w:w="1215"/>
          </w:tcPr>
          <w:p>
            <w:r>
              <w:rPr>
                <w:b/>
              </w:rPr>
              <w:t>Células nulas</w:t>
            </w:r>
          </w:p>
        </w:tc>
        <w:tc>
          <w:tcPr>
            <w:tcW w:type="dxa" w:w="1215"/>
          </w:tcPr>
          <w:p>
            <w:r>
              <w:rPr>
                <w:b/>
              </w:rPr>
              <w:t>Ids duplicados</w:t>
            </w:r>
          </w:p>
        </w:tc>
      </w:tr>
      <w:tr>
        <w:tc>
          <w:tcPr>
            <w:tcW w:type="dxa" w:w="1215"/>
          </w:tcPr>
          <w:p>
            <w:r>
              <w:t>Telemetria</w:t>
            </w:r>
          </w:p>
        </w:tc>
        <w:tc>
          <w:tcPr>
            <w:tcW w:type="dxa" w:w="1215"/>
          </w:tcPr>
          <w:p>
            <w:r>
              <w:t>37.164.054</w:t>
            </w:r>
          </w:p>
        </w:tc>
        <w:tc>
          <w:tcPr>
            <w:tcW w:type="dxa" w:w="1215"/>
          </w:tcPr>
          <w:p>
            <w:r>
              <w:t>18</w:t>
            </w:r>
          </w:p>
        </w:tc>
        <w:tc>
          <w:tcPr>
            <w:tcW w:type="dxa" w:w="1215"/>
          </w:tcPr>
          <w:p>
            <w:r>
              <w:t>01/01–30/06/2025</w:t>
            </w:r>
          </w:p>
        </w:tc>
        <w:tc>
          <w:tcPr>
            <w:tcW w:type="dxa" w:w="1215"/>
          </w:tcPr>
          <w:p>
            <w:r>
              <w:t>35</w:t>
            </w:r>
          </w:p>
        </w:tc>
        <w:tc>
          <w:tcPr>
            <w:tcW w:type="dxa" w:w="1215"/>
          </w:tcPr>
          <w:p>
            <w:r>
              <w:t>0</w:t>
            </w:r>
          </w:p>
        </w:tc>
        <w:tc>
          <w:tcPr>
            <w:tcW w:type="dxa" w:w="1215"/>
          </w:tcPr>
          <w:p>
            <w:r>
              <w:t>0</w:t>
            </w:r>
          </w:p>
        </w:tc>
      </w:tr>
      <w:tr>
        <w:tc>
          <w:tcPr>
            <w:tcW w:type="dxa" w:w="1215"/>
          </w:tcPr>
          <w:p>
            <w:r>
              <w:t>Apontamentos</w:t>
            </w:r>
          </w:p>
        </w:tc>
        <w:tc>
          <w:tcPr>
            <w:tcW w:type="dxa" w:w="1215"/>
          </w:tcPr>
          <w:p>
            <w:r>
              <w:t>377.907</w:t>
            </w:r>
          </w:p>
        </w:tc>
        <w:tc>
          <w:tcPr>
            <w:tcW w:type="dxa" w:w="1215"/>
          </w:tcPr>
          <w:p>
            <w:r>
              <w:t>7</w:t>
            </w:r>
          </w:p>
        </w:tc>
        <w:tc>
          <w:tcPr>
            <w:tcW w:type="dxa" w:w="1215"/>
          </w:tcPr>
          <w:p>
            <w:r>
              <w:t>01/01–30/06/2025</w:t>
            </w:r>
          </w:p>
        </w:tc>
        <w:tc>
          <w:tcPr>
            <w:tcW w:type="dxa" w:w="1215"/>
          </w:tcPr>
          <w:p>
            <w:r>
              <w:t>47</w:t>
            </w:r>
          </w:p>
        </w:tc>
        <w:tc>
          <w:tcPr>
            <w:tcW w:type="dxa" w:w="1215"/>
          </w:tcPr>
          <w:p>
            <w:r>
              <w:t>0</w:t>
            </w:r>
          </w:p>
        </w:tc>
        <w:tc>
          <w:tcPr>
            <w:tcW w:type="dxa" w:w="1215"/>
          </w:tcPr>
          <w:p>
            <w:r>
              <w:t>0</w:t>
            </w:r>
          </w:p>
        </w:tc>
      </w:tr>
    </w:tbl>
    <w:p>
      <w:r>
        <w:rPr>
          <w:sz w:val="22"/>
        </w:rPr>
        <w:t>Os tipos brutos seguem o Dicionario_Dados.xlsx e são validados programaticamente (validate_schema em src/ingestion.py). Dois desvios de tipagem foram identificados na telemetria: Valor chega como string em formato numérico BR (vírgula decimal) e Inicio_Turno/Fim_Turno chegam como string — ambos corrigidos na camada Bronze. Nota sobre cobertura: os apontamentos registram 47 equipamentos, dos quais 35 possuem telemetria no período — o modelo cobre esses 35.</w:t>
      </w:r>
    </w:p>
    <w:p>
      <w:r>
        <w:rPr>
          <w:sz w:val="22"/>
        </w:rPr>
        <w:t>Estatísticas descritivas das variáveis numéricas contínuas: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Variável</w:t>
            </w:r>
          </w:p>
        </w:tc>
        <w:tc>
          <w:tcPr>
            <w:tcW w:type="dxa" w:w="1417"/>
          </w:tcPr>
          <w:p>
            <w:r>
              <w:rPr>
                <w:b/>
              </w:rPr>
              <w:t>Min</w:t>
            </w:r>
          </w:p>
        </w:tc>
        <w:tc>
          <w:tcPr>
            <w:tcW w:type="dxa" w:w="1417"/>
          </w:tcPr>
          <w:p>
            <w:r>
              <w:rPr>
                <w:b/>
              </w:rPr>
              <w:t>Max</w:t>
            </w:r>
          </w:p>
        </w:tc>
        <w:tc>
          <w:tcPr>
            <w:tcW w:type="dxa" w:w="1417"/>
          </w:tcPr>
          <w:p>
            <w:r>
              <w:rPr>
                <w:b/>
              </w:rPr>
              <w:t>Média</w:t>
            </w:r>
          </w:p>
        </w:tc>
        <w:tc>
          <w:tcPr>
            <w:tcW w:type="dxa" w:w="1417"/>
          </w:tcPr>
          <w:p>
            <w:r>
              <w:rPr>
                <w:b/>
              </w:rPr>
              <w:t>Mediana</w:t>
            </w:r>
          </w:p>
        </w:tc>
        <w:tc>
          <w:tcPr>
            <w:tcW w:type="dxa" w:w="1417"/>
          </w:tcPr>
          <w:p>
            <w:r>
              <w:rPr>
                <w:b/>
              </w:rPr>
              <w:t>Desvio padrão</w:t>
            </w:r>
          </w:p>
        </w:tc>
      </w:tr>
      <w:tr>
        <w:tc>
          <w:tcPr>
            <w:tcW w:type="dxa" w:w="1417"/>
          </w:tcPr>
          <w:p>
            <w:r>
              <w:t>Valor (telemetria, pós-conversão)</w:t>
            </w:r>
          </w:p>
        </w:tc>
        <w:tc>
          <w:tcPr>
            <w:tcW w:type="dxa" w:w="1417"/>
          </w:tcPr>
          <w:p>
            <w:r>
              <w:t>0,0</w:t>
            </w:r>
          </w:p>
        </w:tc>
        <w:tc>
          <w:tcPr>
            <w:tcW w:type="dxa" w:w="1417"/>
          </w:tcPr>
          <w:p>
            <w:r>
              <w:t>4.347</w:t>
            </w:r>
          </w:p>
        </w:tc>
        <w:tc>
          <w:tcPr>
            <w:tcW w:type="dxa" w:w="1417"/>
          </w:tcPr>
          <w:p>
            <w:r>
              <w:t>4,57</w:t>
            </w:r>
          </w:p>
        </w:tc>
        <w:tc>
          <w:tcPr>
            <w:tcW w:type="dxa" w:w="1417"/>
          </w:tcPr>
          <w:p>
            <w:r>
              <w:t>0,0</w:t>
            </w:r>
          </w:p>
        </w:tc>
        <w:tc>
          <w:tcPr>
            <w:tcW w:type="dxa" w:w="1417"/>
          </w:tcPr>
          <w:p>
            <w:r>
              <w:t>28,5</w:t>
            </w:r>
          </w:p>
        </w:tc>
      </w:tr>
      <w:tr>
        <w:tc>
          <w:tcPr>
            <w:tcW w:type="dxa" w:w="1417"/>
          </w:tcPr>
          <w:p>
            <w:r>
              <w:t>Duração do ciclo de apontamento (min)</w:t>
            </w:r>
          </w:p>
        </w:tc>
        <w:tc>
          <w:tcPr>
            <w:tcW w:type="dxa" w:w="1417"/>
          </w:tcPr>
          <w:p>
            <w:r>
              <w:t>0,02</w:t>
            </w:r>
          </w:p>
        </w:tc>
        <w:tc>
          <w:tcPr>
            <w:tcW w:type="dxa" w:w="1417"/>
          </w:tcPr>
          <w:p>
            <w:r>
              <w:t>60,0</w:t>
            </w:r>
          </w:p>
        </w:tc>
        <w:tc>
          <w:tcPr>
            <w:tcW w:type="dxa" w:w="1417"/>
          </w:tcPr>
          <w:p>
            <w:r>
              <w:t>29,7</w:t>
            </w:r>
          </w:p>
        </w:tc>
        <w:tc>
          <w:tcPr>
            <w:tcW w:type="dxa" w:w="1417"/>
          </w:tcPr>
          <w:p>
            <w:r>
              <w:t>22,9</w:t>
            </w:r>
          </w:p>
        </w:tc>
        <w:tc>
          <w:tcPr>
            <w:tcW w:type="dxa" w:w="1417"/>
          </w:tcPr>
          <w:p>
            <w:r>
              <w:t>24,0</w:t>
            </w:r>
          </w:p>
        </w:tc>
      </w:tr>
    </w:tbl>
    <w:p>
      <w:r>
        <w:rPr>
          <w:sz w:val="22"/>
        </w:rPr>
        <w:t>A duração máxima de exatamente 60 minutos confirma que os apontamentos são fatiados em ciclos de no máximo 1 hora — propriedade explorada no join temporal da camada Silver. A distribuição temporal, o balanceamento da variável alvo (0,45% de positivos no target de 60min) e os padrões por frota/turno são detalhados nos notebooks 01 e 02 e nas hipóteses H1–H7 da seção anterior.</w:t>
      </w:r>
    </w:p>
    <w:p>
      <w:pPr>
        <w:pStyle w:val="Ttulo2"/>
      </w:pPr>
      <w:r>
        <w:rPr>
          <w:color w:val="00A650"/>
        </w:rPr>
        <w:t>Limpeza e Controle de Alterações (CM 3.1)</w:t>
      </w:r>
    </w:p>
    <w:p>
      <w:r>
        <w:rPr>
          <w:sz w:val="22"/>
        </w:rPr>
        <w:t>Nenhuma linha foi excluída dos dados originais: as alterações aplicadas são de tipagem e rotulagem, todas rastreadas na tabela ANTES/DEPOIS abaixo. As verificações de inconsistência temporal exigidas (Inicio &gt; Fim, duração nula ou negativa, duplicatas) foram executadas e não encontraram casos:</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Campo</w:t>
            </w:r>
          </w:p>
        </w:tc>
        <w:tc>
          <w:tcPr>
            <w:tcW w:type="dxa" w:w="1701"/>
          </w:tcPr>
          <w:p>
            <w:r>
              <w:rPr>
                <w:b/>
              </w:rPr>
              <w:t>Problema identificado (ANTES)</w:t>
            </w:r>
          </w:p>
        </w:tc>
        <w:tc>
          <w:tcPr>
            <w:tcW w:type="dxa" w:w="1701"/>
          </w:tcPr>
          <w:p>
            <w:r>
              <w:rPr>
                <w:b/>
              </w:rPr>
              <w:t>Qtd. registros</w:t>
            </w:r>
          </w:p>
        </w:tc>
        <w:tc>
          <w:tcPr>
            <w:tcW w:type="dxa" w:w="1701"/>
          </w:tcPr>
          <w:p>
            <w:r>
              <w:rPr>
                <w:b/>
              </w:rPr>
              <w:t>Tratamento (DEPOIS)</w:t>
            </w:r>
          </w:p>
        </w:tc>
        <w:tc>
          <w:tcPr>
            <w:tcW w:type="dxa" w:w="1701"/>
          </w:tcPr>
          <w:p>
            <w:r>
              <w:rPr>
                <w:b/>
              </w:rPr>
              <w:t>Justificativa</w:t>
            </w:r>
          </w:p>
        </w:tc>
      </w:tr>
      <w:tr>
        <w:tc>
          <w:tcPr>
            <w:tcW w:type="dxa" w:w="1701"/>
          </w:tcPr>
          <w:p>
            <w:r>
              <w:t>Telemetria.Valor</w:t>
            </w:r>
          </w:p>
        </w:tc>
        <w:tc>
          <w:tcPr>
            <w:tcW w:type="dxa" w:w="1701"/>
          </w:tcPr>
          <w:p>
            <w:r>
              <w:t>String literal 'NULL' — não conversível para número</w:t>
            </w:r>
          </w:p>
        </w:tc>
        <w:tc>
          <w:tcPr>
            <w:tcW w:type="dxa" w:w="1701"/>
          </w:tcPr>
          <w:p>
            <w:r>
              <w:t>237.443 (0,64%)</w:t>
            </w:r>
          </w:p>
        </w:tc>
        <w:tc>
          <w:tcPr>
            <w:tcW w:type="dxa" w:w="1701"/>
          </w:tcPr>
          <w:p>
            <w:r>
              <w:t>Convertida para nulo real no cast Bronze (strict=False); linhas mantidas</w:t>
            </w:r>
          </w:p>
        </w:tc>
        <w:tc>
          <w:tcPr>
            <w:tcW w:type="dxa" w:w="1701"/>
          </w:tcPr>
          <w:p>
            <w:r>
              <w:t>O campo não integra as features do modelo; remover as linhas descartaria alarmes válidos</w:t>
            </w:r>
          </w:p>
        </w:tc>
      </w:tr>
      <w:tr>
        <w:tc>
          <w:tcPr>
            <w:tcW w:type="dxa" w:w="1701"/>
          </w:tcPr>
          <w:p>
            <w:r>
              <w:t>Telemetria.Valor</w:t>
            </w:r>
          </w:p>
        </w:tc>
        <w:tc>
          <w:tcPr>
            <w:tcW w:type="dxa" w:w="1701"/>
          </w:tcPr>
          <w:p>
            <w:r>
              <w:t>Número em formato BR (vírgula decimal) armazenado como string</w:t>
            </w:r>
          </w:p>
        </w:tc>
        <w:tc>
          <w:tcPr>
            <w:tcW w:type="dxa" w:w="1701"/>
          </w:tcPr>
          <w:p>
            <w:r>
              <w:t>todas</w:t>
            </w:r>
          </w:p>
        </w:tc>
        <w:tc>
          <w:tcPr>
            <w:tcW w:type="dxa" w:w="1701"/>
          </w:tcPr>
          <w:p>
            <w:r>
              <w:t>Conversão ',' → '.' e cast para Float64</w:t>
            </w:r>
          </w:p>
        </w:tc>
        <w:tc>
          <w:tcPr>
            <w:tcW w:type="dxa" w:w="1701"/>
          </w:tcPr>
          <w:p>
            <w:r>
              <w:t>Tipagem analítica correta para estatísticas e features</w:t>
            </w:r>
          </w:p>
        </w:tc>
      </w:tr>
      <w:tr>
        <w:tc>
          <w:tcPr>
            <w:tcW w:type="dxa" w:w="1701"/>
          </w:tcPr>
          <w:p>
            <w:r>
              <w:t>Telemetria.Inicio_Turno / Fim_Turno</w:t>
            </w:r>
          </w:p>
        </w:tc>
        <w:tc>
          <w:tcPr>
            <w:tcW w:type="dxa" w:w="1701"/>
          </w:tcPr>
          <w:p>
            <w:r>
              <w:t>Timestamp armazenado como string</w:t>
            </w:r>
          </w:p>
        </w:tc>
        <w:tc>
          <w:tcPr>
            <w:tcW w:type="dxa" w:w="1701"/>
          </w:tcPr>
          <w:p>
            <w:r>
              <w:t>todas</w:t>
            </w:r>
          </w:p>
        </w:tc>
        <w:tc>
          <w:tcPr>
            <w:tcW w:type="dxa" w:w="1701"/>
          </w:tcPr>
          <w:p>
            <w:r>
              <w:t>Parse para Datetime na camada Bronze</w:t>
            </w:r>
          </w:p>
        </w:tc>
        <w:tc>
          <w:tcPr>
            <w:tcW w:type="dxa" w:w="1701"/>
          </w:tcPr>
          <w:p>
            <w:r>
              <w:t>Habilita operações temporais (janelas, joins)</w:t>
            </w:r>
          </w:p>
        </w:tc>
      </w:tr>
      <w:tr>
        <w:tc>
          <w:tcPr>
            <w:tcW w:type="dxa" w:w="1701"/>
          </w:tcPr>
          <w:p>
            <w:r>
              <w:t>Apontamentos (Inicio/Fim)</w:t>
            </w:r>
          </w:p>
        </w:tc>
        <w:tc>
          <w:tcPr>
            <w:tcW w:type="dxa" w:w="1701"/>
          </w:tcPr>
          <w:p>
            <w:r>
              <w:t>Ciclos sobrepostos no mesmo equipamento</w:t>
            </w:r>
          </w:p>
        </w:tc>
        <w:tc>
          <w:tcPr>
            <w:tcW w:type="dxa" w:w="1701"/>
          </w:tcPr>
          <w:p>
            <w:r>
              <w:t>427 (0,11%)</w:t>
            </w:r>
          </w:p>
        </w:tc>
        <w:tc>
          <w:tcPr>
            <w:tcW w:type="dxa" w:w="1701"/>
          </w:tcPr>
          <w:p>
            <w:r>
              <w:t>Mantidos; o join asof da Silver ordena por Inicio com Id como desempate</w:t>
            </w:r>
          </w:p>
        </w:tc>
        <w:tc>
          <w:tcPr>
            <w:tcW w:type="dxa" w:w="1701"/>
          </w:tcPr>
          <w:p>
            <w:r>
              <w:t>Sobreposições marginais; excluir criaria lacunas de estado operacional</w:t>
            </w:r>
          </w:p>
        </w:tc>
      </w:tr>
      <w:tr>
        <w:tc>
          <w:tcPr>
            <w:tcW w:type="dxa" w:w="1701"/>
          </w:tcPr>
          <w:p>
            <w:r>
              <w:t>Ambos os datasets</w:t>
            </w:r>
          </w:p>
        </w:tc>
        <w:tc>
          <w:tcPr>
            <w:tcW w:type="dxa" w:w="1701"/>
          </w:tcPr>
          <w:p>
            <w:r>
              <w:t>Inicio &gt; Fim, duração nula, valores nulos, duplicatas</w:t>
            </w:r>
          </w:p>
        </w:tc>
        <w:tc>
          <w:tcPr>
            <w:tcW w:type="dxa" w:w="1701"/>
          </w:tcPr>
          <w:p>
            <w:r>
              <w:t>0</w:t>
            </w:r>
          </w:p>
        </w:tc>
        <w:tc>
          <w:tcPr>
            <w:tcW w:type="dxa" w:w="1701"/>
          </w:tcPr>
          <w:p>
            <w:r>
              <w:t>—</w:t>
            </w:r>
          </w:p>
        </w:tc>
        <w:tc>
          <w:tcPr>
            <w:tcW w:type="dxa" w:w="1701"/>
          </w:tcPr>
          <w:p>
            <w:r>
              <w:t>Verificado (CM 3.1); dados chegaram íntegros da origem</w:t>
            </w:r>
          </w:p>
        </w:tc>
      </w:tr>
    </w:tbl>
    <w:p>
      <w:r>
        <w:rPr>
          <w:sz w:val="22"/>
        </w:rPr>
        <w:t>Outliers: a variável Valor apresenta cauda longa (máx. 4.347 vs mediana 0), mas trata-se de leituras físicas de sensores heterogêneos, não de erro de medição — foram mantidos sem winsorização, decisão segura porque o modelo usa contagens e flags de alarme, não o Valor bruto. O equipamento CA65926 é outlier comportamental legítimo, analisado individualmente na seção de Resultados.</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verificação de integridade — nulos, duplicatas e consistência temporal (nenhuma linha precisou ser removida; ver CM 3.1).</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0.9914.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0.9924</w:t>
            </w:r>
          </w:p>
        </w:tc>
        <w:tc>
          <w:tcPr>
            <w:tcW w:type="dxa" w:w="2835"/>
          </w:tcPr>
          <w:p>
            <w:r>
              <w:t>Discriminação quase perfeita entre eventos pré-DG e não-DG</w:t>
            </w:r>
          </w:p>
        </w:tc>
      </w:tr>
      <w:tr>
        <w:tc>
          <w:tcPr>
            <w:tcW w:type="dxa" w:w="2835"/>
          </w:tcPr>
          <w:p>
            <w:r>
              <w:t>PR-AUC (Avg Precision)</w:t>
            </w:r>
          </w:p>
        </w:tc>
        <w:tc>
          <w:tcPr>
            <w:tcW w:type="dxa" w:w="2835"/>
          </w:tcPr>
          <w:p>
            <w:r>
              <w:t>0.7018</w:t>
            </w:r>
          </w:p>
        </w:tc>
        <w:tc>
          <w:tcPr>
            <w:tcW w:type="dxa" w:w="2835"/>
          </w:tcPr>
          <w:p>
            <w:r>
              <w:t>Muito bom para desbalanceamento de 0,45% positivos</w:t>
            </w:r>
          </w:p>
        </w:tc>
      </w:tr>
      <w:tr>
        <w:tc>
          <w:tcPr>
            <w:tcW w:type="dxa" w:w="2835"/>
          </w:tcPr>
          <w:p>
            <w:r>
              <w:t>F1-Score</w:t>
            </w:r>
          </w:p>
        </w:tc>
        <w:tc>
          <w:tcPr>
            <w:tcW w:type="dxa" w:w="2835"/>
          </w:tcPr>
          <w:p>
            <w:r>
              <w:t>0.6741</w:t>
            </w:r>
          </w:p>
        </w:tc>
        <w:tc>
          <w:tcPr>
            <w:tcW w:type="dxa" w:w="2835"/>
          </w:tcPr>
          <w:p>
            <w:r>
              <w:t>Equilíbrio precision-recall no limiar ótimo</w:t>
            </w:r>
          </w:p>
        </w:tc>
      </w:tr>
      <w:tr>
        <w:tc>
          <w:tcPr>
            <w:tcW w:type="dxa" w:w="2835"/>
          </w:tcPr>
          <w:p>
            <w:r>
              <w:t>Precision</w:t>
            </w:r>
          </w:p>
        </w:tc>
        <w:tc>
          <w:tcPr>
            <w:tcW w:type="dxa" w:w="2835"/>
          </w:tcPr>
          <w:p>
            <w:r>
              <w:t>0.7121</w:t>
            </w:r>
          </w:p>
        </w:tc>
        <w:tc>
          <w:tcPr>
            <w:tcW w:type="dxa" w:w="2835"/>
          </w:tcPr>
          <w:p>
            <w:r>
              <w:t>71% dos alertas emitidos correspondem a DG real</w:t>
            </w:r>
          </w:p>
        </w:tc>
      </w:tr>
      <w:tr>
        <w:tc>
          <w:tcPr>
            <w:tcW w:type="dxa" w:w="2835"/>
          </w:tcPr>
          <w:p>
            <w:r>
              <w:t>Recall</w:t>
            </w:r>
          </w:p>
        </w:tc>
        <w:tc>
          <w:tcPr>
            <w:tcW w:type="dxa" w:w="2835"/>
          </w:tcPr>
          <w:p>
            <w:r>
              <w:t>0.6400</w:t>
            </w:r>
          </w:p>
        </w:tc>
        <w:tc>
          <w:tcPr>
            <w:tcW w:type="dxa" w:w="2835"/>
          </w:tcPr>
          <w:p>
            <w:r>
              <w:t>64% dos eventos pré-DG são capturados com ≥1h de antecedência</w:t>
            </w:r>
          </w:p>
        </w:tc>
      </w:tr>
      <w:tr>
        <w:tc>
          <w:tcPr>
            <w:tcW w:type="dxa" w:w="2835"/>
          </w:tcPr>
          <w:p>
            <w:r>
              <w:t>Limiar ótimo</w:t>
            </w:r>
          </w:p>
        </w:tc>
        <w:tc>
          <w:tcPr>
            <w:tcW w:type="dxa" w:w="2835"/>
          </w:tcPr>
          <w:p>
            <w:r>
              <w:t>0.9914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165231"/>
            <wp:docPr id="29" name="Picture 29"/>
            <wp:cNvGraphicFramePr>
              <a:graphicFrameLocks noChangeAspect="1"/>
            </wp:cNvGraphicFramePr>
            <a:graphic>
              <a:graphicData uri="http://schemas.openxmlformats.org/drawingml/2006/picture">
                <pic:pic>
                  <pic:nvPicPr>
                    <pic:cNvPr id="0" name="roc_curve.png"/>
                    <pic:cNvPicPr/>
                  </pic:nvPicPr>
                  <pic:blipFill>
                    <a:blip r:embed="rId46"/>
                    <a:stretch>
                      <a:fillRect/>
                    </a:stretch>
                  </pic:blipFill>
                  <pic:spPr>
                    <a:xfrm>
                      <a:off x="0" y="0"/>
                      <a:ext cx="4114800" cy="3165231"/>
                    </a:xfrm>
                    <a:prstGeom prst="rect"/>
                  </pic:spPr>
                </pic:pic>
              </a:graphicData>
            </a:graphic>
          </wp:inline>
        </w:drawing>
      </w:r>
    </w:p>
    <w:p>
      <w:pPr>
        <w:jc w:val="center"/>
      </w:pPr>
      <w:r>
        <w:drawing>
          <wp:inline xmlns:a="http://schemas.openxmlformats.org/drawingml/2006/main" xmlns:pic="http://schemas.openxmlformats.org/drawingml/2006/picture">
            <wp:extent cx="3200400" cy="2844800"/>
            <wp:docPr id="28" name="Picture 28"/>
            <wp:cNvGraphicFramePr>
              <a:graphicFrameLocks noChangeAspect="1"/>
            </wp:cNvGraphicFramePr>
            <a:graphic>
              <a:graphicData uri="http://schemas.openxmlformats.org/drawingml/2006/picture">
                <pic:pic>
                  <pic:nvPicPr>
                    <pic:cNvPr id="0" name="confusion_matrix.png"/>
                    <pic:cNvPicPr/>
                  </pic:nvPicPr>
                  <pic:blipFill>
                    <a:blip r:embed="rId45"/>
                    <a:stretch>
                      <a:fillRect/>
                    </a:stretch>
                  </pic:blipFill>
                  <pic:spPr>
                    <a:xfrm>
                      <a:off x="0" y="0"/>
                      <a:ext cx="3200400" cy="284480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0.1485</w:t>
            </w:r>
          </w:p>
        </w:tc>
        <w:tc>
          <w:tcPr>
            <w:tcW w:type="dxa" w:w="1417"/>
          </w:tcPr>
          <w:p>
            <w:r>
              <w:t>0.0853</w:t>
            </w:r>
          </w:p>
        </w:tc>
        <w:tc>
          <w:tcPr>
            <w:tcW w:type="dxa" w:w="1417"/>
          </w:tcPr>
          <w:p>
            <w:r>
              <w:t>0.5714</w:t>
            </w:r>
          </w:p>
        </w:tc>
        <w:tc>
          <w:tcPr>
            <w:tcW w:type="dxa" w:w="1417"/>
          </w:tcPr>
          <w:p>
            <w:r>
              <w:t>0.9669</w:t>
            </w:r>
          </w:p>
        </w:tc>
        <w:tc>
          <w:tcPr>
            <w:tcW w:type="dxa" w:w="1417"/>
          </w:tcPr>
          <w:p>
            <w:r>
              <w:t>0.0747</w:t>
            </w:r>
          </w:p>
        </w:tc>
      </w:tr>
      <w:tr>
        <w:tc>
          <w:tcPr>
            <w:tcW w:type="dxa" w:w="1417"/>
          </w:tcPr>
          <w:p>
            <w:r>
              <w:t>Random Forest</w:t>
            </w:r>
          </w:p>
        </w:tc>
        <w:tc>
          <w:tcPr>
            <w:tcW w:type="dxa" w:w="1417"/>
          </w:tcPr>
          <w:p>
            <w:r>
              <w:t>0.6741</w:t>
            </w:r>
          </w:p>
        </w:tc>
        <w:tc>
          <w:tcPr>
            <w:tcW w:type="dxa" w:w="1417"/>
          </w:tcPr>
          <w:p>
            <w:r>
              <w:t>0.7063</w:t>
            </w:r>
          </w:p>
        </w:tc>
        <w:tc>
          <w:tcPr>
            <w:tcW w:type="dxa" w:w="1417"/>
          </w:tcPr>
          <w:p>
            <w:r>
              <w:t>0.6447</w:t>
            </w:r>
          </w:p>
        </w:tc>
        <w:tc>
          <w:tcPr>
            <w:tcW w:type="dxa" w:w="1417"/>
          </w:tcPr>
          <w:p>
            <w:r>
              <w:t>0.9940</w:t>
            </w:r>
          </w:p>
        </w:tc>
        <w:tc>
          <w:tcPr>
            <w:tcW w:type="dxa" w:w="1417"/>
          </w:tcPr>
          <w:p>
            <w:r>
              <w:t>0.7170</w:t>
            </w:r>
          </w:p>
        </w:tc>
      </w:tr>
      <w:tr>
        <w:tc>
          <w:tcPr>
            <w:tcW w:type="dxa" w:w="1417"/>
          </w:tcPr>
          <w:p>
            <w:r>
              <w:t>LightGBM (principal)</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bl>
    <w:p>
      <w:r>
        <w:rPr>
          <w:sz w:val="22"/>
        </w:rPr>
        <w:t>Nota metodológica: esta tabela é o benchmark formal de cinco modelos (Sprint 1), no qual cada modelo é pontuado no mesmo harness unificado sobre a matriz Gold, com o threshold de cada modelo fixado na validação (Mai) e aplicado ao teste (Jun). O modelo de produção é treinado sem a flag de vazamento Is_Dont_Go (53 features); o harness reproduz exatamente sua métrica canônica (F1=0,674, ROC-AUC=0,992, PR-AUC=0,702 — ver model_metrics.json). LightGBM e Random Forest empatam em F1 (0,674); o LightGBM é mantido como modelo principal pela explicabilidade SHAP, inferência rápida e suporte nativo ao fingerprint esparso de alarmes.</w:t>
      </w:r>
    </w:p>
    <w:p>
      <w:r>
        <w:rPr>
          <w:sz w:val="22"/>
        </w:rPr>
        <w:t>Três observações principais emergem desta comparação:</w:t>
      </w:r>
    </w:p>
    <w:p>
      <w:pPr>
        <w:pStyle w:val="Commarcadores"/>
      </w:pPr>
      <w:r>
        <w:rPr>
          <w:sz w:val="22"/>
        </w:rPr>
        <w:t>Ganho de F1 do ML sobre a heurística operacional: +341% (0,674 vs 0,153).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(empate técnico em F1 = 0,6741),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7" name="Picture 27"/>
            <wp:cNvGraphicFramePr>
              <a:graphicFrameLocks noChangeAspect="1"/>
            </wp:cNvGraphicFramePr>
            <a:graphic>
              <a:graphicData uri="http://schemas.openxmlformats.org/drawingml/2006/picture">
                <pic:pic>
                  <pic:nvPicPr>
                    <pic:cNvPr id="0" name="comparison_f1_bar.png"/>
                    <pic:cNvPicPr/>
                  </pic:nvPicPr>
                  <pic:blipFill>
                    <a:blip r:embed="rId44"/>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6" name="Picture 26"/>
            <wp:cNvGraphicFramePr>
              <a:graphicFrameLocks noChangeAspect="1"/>
            </wp:cNvGraphicFramePr>
            <a:graphic>
              <a:graphicData uri="http://schemas.openxmlformats.org/drawingml/2006/picture">
                <pic:pic>
                  <pic:nvPicPr>
                    <pic:cNvPr id="0" name="comparison_pr_curves.png"/>
                    <pic:cNvPicPr/>
                  </pic:nvPicPr>
                  <pic:blipFill>
                    <a:blip r:embed="rId43"/>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r>
        <w:tc>
          <w:tcPr>
            <w:tcW w:type="dxa" w:w="1417"/>
          </w:tcPr>
          <w:p>
            <w:r>
              <w:t>RandomForest</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Soft-voting</w:t>
            </w:r>
          </w:p>
        </w:tc>
        <w:tc>
          <w:tcPr>
            <w:tcW w:type="dxa" w:w="1417"/>
          </w:tcPr>
          <w:p>
            <w:r>
              <w:t>0,6738</w:t>
            </w:r>
          </w:p>
        </w:tc>
        <w:tc>
          <w:tcPr>
            <w:tcW w:type="dxa" w:w="1417"/>
          </w:tcPr>
          <w:p>
            <w:r>
              <w:t>0,7025</w:t>
            </w:r>
          </w:p>
        </w:tc>
        <w:tc>
          <w:tcPr>
            <w:tcW w:type="dxa" w:w="1417"/>
          </w:tcPr>
          <w:p>
            <w:r>
              <w:t>0,6473</w:t>
            </w:r>
          </w:p>
        </w:tc>
        <w:tc>
          <w:tcPr>
            <w:tcW w:type="dxa" w:w="1417"/>
          </w:tcPr>
          <w:p>
            <w:r>
              <w:t>0,9934</w:t>
            </w:r>
          </w:p>
        </w:tc>
        <w:tc>
          <w:tcPr>
            <w:tcW w:type="dxa" w:w="1417"/>
          </w:tcPr>
          <w:p>
            <w:r>
              <w:t>0,7155</w:t>
            </w:r>
          </w:p>
        </w:tc>
      </w:tr>
      <w:tr>
        <w:tc>
          <w:tcPr>
            <w:tcW w:type="dxa" w:w="1417"/>
          </w:tcPr>
          <w:p>
            <w:r>
              <w:t>Média ponderada</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Stacking</w:t>
            </w:r>
          </w:p>
        </w:tc>
        <w:tc>
          <w:tcPr>
            <w:tcW w:type="dxa" w:w="1417"/>
          </w:tcPr>
          <w:p>
            <w:r>
              <w:t>0,6737</w:t>
            </w:r>
          </w:p>
        </w:tc>
        <w:tc>
          <w:tcPr>
            <w:tcW w:type="dxa" w:w="1417"/>
          </w:tcPr>
          <w:p>
            <w:r>
              <w:t>0,7014</w:t>
            </w:r>
          </w:p>
        </w:tc>
        <w:tc>
          <w:tcPr>
            <w:tcW w:type="dxa" w:w="1417"/>
          </w:tcPr>
          <w:p>
            <w:r>
              <w:t>0,6482</w:t>
            </w:r>
          </w:p>
        </w:tc>
        <w:tc>
          <w:tcPr>
            <w:tcW w:type="dxa" w:w="1417"/>
          </w:tcPr>
          <w:p>
            <w:r>
              <w:t>0,9940</w:t>
            </w:r>
          </w:p>
        </w:tc>
        <w:tc>
          <w:tcPr>
            <w:tcW w:type="dxa" w:w="1417"/>
          </w:tcPr>
          <w:p>
            <w:r>
              <w:t>0,7169</w:t>
            </w:r>
          </w:p>
        </w:tc>
      </w:tr>
    </w:tbl>
    <w:p>
      <w:pPr>
        <w:jc w:val="center"/>
      </w:pPr>
      <w:r>
        <w:drawing>
          <wp:inline xmlns:a="http://schemas.openxmlformats.org/drawingml/2006/main" xmlns:pic="http://schemas.openxmlformats.org/drawingml/2006/picture">
            <wp:extent cx="5029200" cy="2766060"/>
            <wp:docPr id="25" name="Picture 25"/>
            <wp:cNvGraphicFramePr>
              <a:graphicFrameLocks noChangeAspect="1"/>
            </wp:cNvGraphicFramePr>
            <a:graphic>
              <a:graphicData uri="http://schemas.openxmlformats.org/drawingml/2006/picture">
                <pic:pic>
                  <pic:nvPicPr>
                    <pic:cNvPr id="0" name="ensemble_f1_comparison.png"/>
                    <pic:cNvPicPr/>
                  </pic:nvPicPr>
                  <pic:blipFill>
                    <a:blip r:embed="rId42"/>
                    <a:stretch>
                      <a:fillRect/>
                    </a:stretch>
                  </pic:blipFill>
                  <pic:spPr>
                    <a:xfrm>
                      <a:off x="0" y="0"/>
                      <a:ext cx="5029200" cy="2766060"/>
                    </a:xfrm>
                    <a:prstGeom prst="rect"/>
                  </pic:spPr>
                </pic:pic>
              </a:graphicData>
            </a:graphic>
          </wp:inline>
        </w:drawing>
      </w:r>
    </w:p>
    <w:p>
      <w:r>
        <w:rPr>
          <w:sz w:val="22"/>
        </w:rPr>
        <w:t>O melhor ensemble (Soft-voting) NÃO superou o melhor modelo-base (LightGBM) de forma relevante (Δ F1 = -0,0003, -0,0%).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53 features do modelo.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4" name="Picture 24"/>
            <wp:cNvGraphicFramePr>
              <a:graphicFrameLocks noChangeAspect="1"/>
            </wp:cNvGraphicFramePr>
            <a:graphic>
              <a:graphicData uri="http://schemas.openxmlformats.org/drawingml/2006/picture">
                <pic:pic>
                  <pic:nvPicPr>
                    <pic:cNvPr id="0" name="ensemble_pr_curves.png"/>
                    <pic:cNvPicPr/>
                  </pic:nvPicPr>
                  <pic:blipFill>
                    <a:blip r:embed="rId41"/>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3" name="Picture 23"/>
            <wp:cNvGraphicFramePr>
              <a:graphicFrameLocks noChangeAspect="1"/>
            </wp:cNvGraphicFramePr>
            <a:graphic>
              <a:graphicData uri="http://schemas.openxmlformats.org/drawingml/2006/picture">
                <pic:pic>
                  <pic:nvPicPr>
                    <pic:cNvPr id="0" name="cost_vs_threshold.png"/>
                    <pic:cNvPicPr/>
                  </pic:nvPicPr>
                  <pic:blipFill>
                    <a:blip r:embed="rId40"/>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0.990</w:t>
            </w:r>
          </w:p>
        </w:tc>
        <w:tc>
          <w:tcPr>
            <w:tcW w:type="dxa" w:w="1215"/>
          </w:tcPr>
          <w:p>
            <w:r>
              <w:t>22,872</w:t>
            </w:r>
          </w:p>
        </w:tc>
        <w:tc>
          <w:tcPr>
            <w:tcW w:type="dxa" w:w="1215"/>
          </w:tcPr>
          <w:p>
            <w:r>
              <w:t>10,331</w:t>
            </w:r>
          </w:p>
        </w:tc>
        <w:tc>
          <w:tcPr>
            <w:tcW w:type="dxa" w:w="1215"/>
          </w:tcPr>
          <w:p>
            <w:r>
              <w:t>12,331</w:t>
            </w:r>
          </w:p>
        </w:tc>
        <w:tc>
          <w:tcPr>
            <w:tcW w:type="dxa" w:w="1215"/>
          </w:tcPr>
          <w:p>
            <w:r>
              <w:t>0.6687</w:t>
            </w:r>
          </w:p>
        </w:tc>
        <w:tc>
          <w:tcPr>
            <w:tcW w:type="dxa" w:w="1215"/>
          </w:tcPr>
          <w:p>
            <w:r>
              <w:t>624.8</w:t>
            </w:r>
          </w:p>
        </w:tc>
      </w:tr>
      <w:tr>
        <w:tc>
          <w:tcPr>
            <w:tcW w:type="dxa" w:w="1215"/>
          </w:tcPr>
          <w:p>
            <w:r>
              <w:t>Custo ótimo</w:t>
            </w:r>
          </w:p>
        </w:tc>
        <w:tc>
          <w:tcPr>
            <w:tcW w:type="dxa" w:w="1215"/>
          </w:tcPr>
          <w:p>
            <w:r>
              <w:t>0.070</w:t>
            </w:r>
          </w:p>
        </w:tc>
        <w:tc>
          <w:tcPr>
            <w:tcW w:type="dxa" w:w="1215"/>
          </w:tcPr>
          <w:p>
            <w:r>
              <w:t>34,745</w:t>
            </w:r>
          </w:p>
        </w:tc>
        <w:tc>
          <w:tcPr>
            <w:tcW w:type="dxa" w:w="1215"/>
          </w:tcPr>
          <w:p>
            <w:r>
              <w:t>458,668</w:t>
            </w:r>
          </w:p>
        </w:tc>
        <w:tc>
          <w:tcPr>
            <w:tcW w:type="dxa" w:w="1215"/>
          </w:tcPr>
          <w:p>
            <w:r>
              <w:t>458</w:t>
            </w:r>
          </w:p>
        </w:tc>
        <w:tc>
          <w:tcPr>
            <w:tcW w:type="dxa" w:w="1215"/>
          </w:tcPr>
          <w:p>
            <w:r>
              <w:t>0.1315</w:t>
            </w:r>
          </w:p>
        </w:tc>
        <w:tc>
          <w:tcPr>
            <w:tcW w:type="dxa" w:w="1215"/>
          </w:tcPr>
          <w:p>
            <w:r>
              <w:t>389.8</w:t>
            </w:r>
          </w:p>
        </w:tc>
      </w:tr>
    </w:tbl>
    <w:p>
      <w:r>
        <w:rPr>
          <w:sz w:val="22"/>
        </w:rPr>
        <w:t>Importante: a tabela acima precifica cada LINHA de telemetria como uma parada independente, o que superestima o custo absoluto em ordens de grandeza — um único Don't Go gera dezenas a centenas de linhas na janela pré-evento. A métrica honesta de impacto deduplica por EPISÓDIO (1 episódio de Don't Go = 1 parada física):</w:t>
      </w:r>
    </w:p>
    <w:p>
      <w:r>
        <w:rPr>
          <w:sz w:val="22"/>
        </w:rPr>
        <w:t>Conclusão financeira (por episódio): no teste há 5,652 episódios de Don't Go. O threshold custo-ótimo (~0.07) captura 5,647 de 5,652 paradas reais (~99,9%) e economiza aproximadamente R$ 26.3 milhões no mês de teste em relação ao threshold otimizado por F1. Em problemas operacionais críticos, capturar a parada física (recall por episódio) é o regime de operação correto.</w:t>
      </w:r>
    </w:p>
    <w:p>
      <w:pPr>
        <w:pStyle w:val="Ttulo3"/>
      </w:pPr>
      <w:r>
        <w:rPr>
          <w:color w:val="00A650"/>
        </w:rPr>
        <w:t>Casos Representativos — Falsos Positivos</w:t>
      </w:r>
    </w:p>
    <w:p>
      <w:r>
        <w:rPr>
          <w:sz w:val="22"/>
        </w:rPr>
        <w:t>Os 3 FPs de maior convicção do modelo concentram-se no CA65915 (793-D 4S) em uma janela de ~1 minuto: aceleração de alarmes críticos elevada, probabilidade prevista ~0.999,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(~0.001) ocorrem todos no PE3795 (LeTourneau L 1850) — escavadeira. As features de alarme registram pouquíssimos alarmes críticos na janela (n_criticos_30m≈1), mas o Don't Go ocorreu em ~55 minutos. O modelo praticamente não atribui risco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0.1192</w:t>
            </w:r>
          </w:p>
        </w:tc>
        <w:tc>
          <w:tcPr>
            <w:tcW w:type="dxa" w:w="1215"/>
          </w:tcPr>
          <w:p>
            <w:r>
              <w:t>0.9886</w:t>
            </w:r>
          </w:p>
        </w:tc>
        <w:tc>
          <w:tcPr>
            <w:tcW w:type="dxa" w:w="1215"/>
          </w:tcPr>
          <w:p>
            <w:r>
              <w:t>0.5906</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0.2135</w:t>
            </w:r>
          </w:p>
        </w:tc>
        <w:tc>
          <w:tcPr>
            <w:tcW w:type="dxa" w:w="1215"/>
          </w:tcPr>
          <w:p>
            <w:r>
              <w:t>0.9917</w:t>
            </w:r>
          </w:p>
        </w:tc>
        <w:tc>
          <w:tcPr>
            <w:tcW w:type="dxa" w:w="1215"/>
          </w:tcPr>
          <w:p>
            <w:r>
              <w:t>0.8860</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0.1923</w:t>
            </w:r>
          </w:p>
        </w:tc>
        <w:tc>
          <w:tcPr>
            <w:tcW w:type="dxa" w:w="1215"/>
          </w:tcPr>
          <w:p>
            <w:r>
              <w:t>1.0000</w:t>
            </w:r>
          </w:p>
        </w:tc>
        <w:tc>
          <w:tcPr>
            <w:tcW w:type="dxa" w:w="1215"/>
          </w:tcPr>
          <w:p>
            <w:r>
              <w:t>0.3707</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0.0219</w:t>
            </w:r>
          </w:p>
        </w:tc>
        <w:tc>
          <w:tcPr>
            <w:tcW w:type="dxa" w:w="1215"/>
          </w:tcPr>
          <w:p>
            <w:r>
              <w:t>1.0000</w:t>
            </w:r>
          </w:p>
        </w:tc>
        <w:tc>
          <w:tcPr>
            <w:tcW w:type="dxa" w:w="1215"/>
          </w:tcPr>
          <w:p>
            <w:r>
              <w:t>0.1116</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0.0069</w:t>
            </w:r>
          </w:p>
        </w:tc>
        <w:tc>
          <w:tcPr>
            <w:tcW w:type="dxa" w:w="1215"/>
          </w:tcPr>
          <w:p>
            <w:r>
              <w:t>0.1358</w:t>
            </w:r>
          </w:p>
        </w:tc>
        <w:tc>
          <w:tcPr>
            <w:tcW w:type="dxa" w:w="1215"/>
          </w:tcPr>
          <w:p>
            <w:r>
              <w:t>0.0216</w:t>
            </w:r>
          </w:p>
        </w:tc>
      </w:tr>
    </w:tbl>
    <w:p>
      <w:pPr>
        <w:jc w:val="center"/>
      </w:pPr>
      <w:r>
        <w:drawing>
          <wp:inline xmlns:a="http://schemas.openxmlformats.org/drawingml/2006/main" xmlns:pic="http://schemas.openxmlformats.org/drawingml/2006/picture">
            <wp:extent cx="5029200" cy="2286000"/>
            <wp:docPr id="22" name="Picture 22"/>
            <wp:cNvGraphicFramePr>
              <a:graphicFrameLocks noChangeAspect="1"/>
            </wp:cNvGraphicFramePr>
            <a:graphic>
              <a:graphicData uri="http://schemas.openxmlformats.org/drawingml/2006/picture">
                <pic:pic>
                  <pic:nvPicPr>
                    <pic:cNvPr id="0" name="f1_by_fleet.png"/>
                    <pic:cNvPicPr/>
                  </pic:nvPicPr>
                  <pic:blipFill>
                    <a:blip r:embed="rId39"/>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1" name="Picture 21"/>
            <wp:cNvGraphicFramePr>
              <a:graphicFrameLocks noChangeAspect="1"/>
            </wp:cNvGraphicFramePr>
            <a:graphic>
              <a:graphicData uri="http://schemas.openxmlformats.org/drawingml/2006/picture">
                <pic:pic>
                  <pic:nvPicPr>
                    <pic:cNvPr id="0" name="f1_by_equipment_scatter.png"/>
                    <pic:cNvPicPr/>
                  </pic:nvPicPr>
                  <pic:blipFill>
                    <a:blip r:embed="rId38"/>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20" name="Picture 20"/>
            <wp:cNvGraphicFramePr>
              <a:graphicFrameLocks noChangeAspect="1"/>
            </wp:cNvGraphicFramePr>
            <a:graphic>
              <a:graphicData uri="http://schemas.openxmlformats.org/drawingml/2006/picture">
                <pic:pic>
                  <pic:nvPicPr>
                    <pic:cNvPr id="0" name="escavadeira_fingerprint_lift.png"/>
                    <pic:cNvPicPr/>
                  </pic:nvPicPr>
                  <pic:blipFill>
                    <a:blip r:embed="rId37"/>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9" name="Picture 19"/>
            <wp:cNvGraphicFramePr>
              <a:graphicFrameLocks noChangeAspect="1"/>
            </wp:cNvGraphicFramePr>
            <a:graphic>
              <a:graphicData uri="http://schemas.openxmlformats.org/drawingml/2006/picture">
                <pic:pic>
                  <pic:nvPicPr>
                    <pic:cNvPr id="0" name="escavadeira_vs_caminhao_fingerprint.png"/>
                    <pic:cNvPicPr/>
                  </pic:nvPicPr>
                  <pic:blipFill>
                    <a:blip r:embed="rId36"/>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gru_vs_baseline.png"/>
                    <pic:cNvPicPr/>
                  </pic:nvPicPr>
                  <pic:blipFill>
                    <a:blip r:embed="rId35"/>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fixado na validação (0,99):</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0.6687</w:t>
            </w:r>
          </w:p>
        </w:tc>
        <w:tc>
          <w:tcPr>
            <w:tcW w:type="dxa" w:w="1063"/>
          </w:tcPr>
          <w:p>
            <w:r>
              <w:t>0.6889</w:t>
            </w:r>
          </w:p>
        </w:tc>
        <w:tc>
          <w:tcPr>
            <w:tcW w:type="dxa" w:w="1063"/>
          </w:tcPr>
          <w:p>
            <w:r>
              <w:t>0.6497</w:t>
            </w:r>
          </w:p>
        </w:tc>
        <w:tc>
          <w:tcPr>
            <w:tcW w:type="dxa" w:w="1063"/>
          </w:tcPr>
          <w:p>
            <w:r>
              <w:t>0.9924</w:t>
            </w:r>
          </w:p>
        </w:tc>
        <w:tc>
          <w:tcPr>
            <w:tcW w:type="dxa" w:w="1063"/>
          </w:tcPr>
          <w:p>
            <w:r>
              <w:t>0.7018</w:t>
            </w:r>
          </w:p>
        </w:tc>
      </w:tr>
      <w:tr>
        <w:tc>
          <w:tcPr>
            <w:tcW w:type="dxa" w:w="1063"/>
          </w:tcPr>
          <w:p>
            <w:r>
              <w:t>120</w:t>
            </w:r>
          </w:p>
        </w:tc>
        <w:tc>
          <w:tcPr>
            <w:tcW w:type="dxa" w:w="1063"/>
          </w:tcPr>
          <w:p>
            <w:r>
              <w:t>46,796</w:t>
            </w:r>
          </w:p>
        </w:tc>
        <w:tc>
          <w:tcPr>
            <w:tcW w:type="dxa" w:w="1063"/>
          </w:tcPr>
          <w:p>
            <w:r>
              <w:t>0.596%</w:t>
            </w:r>
          </w:p>
        </w:tc>
        <w:tc>
          <w:tcPr>
            <w:tcW w:type="dxa" w:w="1063"/>
          </w:tcPr>
          <w:p>
            <w:r>
              <w:t>0.6153</w:t>
            </w:r>
          </w:p>
        </w:tc>
        <w:tc>
          <w:tcPr>
            <w:tcW w:type="dxa" w:w="1063"/>
          </w:tcPr>
          <w:p>
            <w:r>
              <w:t>0.7412</w:t>
            </w:r>
          </w:p>
        </w:tc>
        <w:tc>
          <w:tcPr>
            <w:tcW w:type="dxa" w:w="1063"/>
          </w:tcPr>
          <w:p>
            <w:r>
              <w:t>0.5259</w:t>
            </w:r>
          </w:p>
        </w:tc>
        <w:tc>
          <w:tcPr>
            <w:tcW w:type="dxa" w:w="1063"/>
          </w:tcPr>
          <w:p>
            <w:r>
              <w:t>0.9831</w:t>
            </w:r>
          </w:p>
        </w:tc>
        <w:tc>
          <w:tcPr>
            <w:tcW w:type="dxa" w:w="1063"/>
          </w:tcPr>
          <w:p>
            <w:r>
              <w:t>0.6281</w:t>
            </w:r>
          </w:p>
        </w:tc>
      </w:tr>
      <w:tr>
        <w:tc>
          <w:tcPr>
            <w:tcW w:type="dxa" w:w="1063"/>
          </w:tcPr>
          <w:p>
            <w:r>
              <w:t>240</w:t>
            </w:r>
          </w:p>
        </w:tc>
        <w:tc>
          <w:tcPr>
            <w:tcW w:type="dxa" w:w="1063"/>
          </w:tcPr>
          <w:p>
            <w:r>
              <w:t>69,036</w:t>
            </w:r>
          </w:p>
        </w:tc>
        <w:tc>
          <w:tcPr>
            <w:tcW w:type="dxa" w:w="1063"/>
          </w:tcPr>
          <w:p>
            <w:r>
              <w:t>0.879%</w:t>
            </w:r>
          </w:p>
        </w:tc>
        <w:tc>
          <w:tcPr>
            <w:tcW w:type="dxa" w:w="1063"/>
          </w:tcPr>
          <w:p>
            <w:r>
              <w:t>0.5077</w:t>
            </w:r>
          </w:p>
        </w:tc>
        <w:tc>
          <w:tcPr>
            <w:tcW w:type="dxa" w:w="1063"/>
          </w:tcPr>
          <w:p>
            <w:r>
              <w:t>0.7816</w:t>
            </w:r>
          </w:p>
        </w:tc>
        <w:tc>
          <w:tcPr>
            <w:tcW w:type="dxa" w:w="1063"/>
          </w:tcPr>
          <w:p>
            <w:r>
              <w:t>0.3759</w:t>
            </w:r>
          </w:p>
        </w:tc>
        <w:tc>
          <w:tcPr>
            <w:tcW w:type="dxa" w:w="1063"/>
          </w:tcPr>
          <w:p>
            <w:r>
              <w:t>0.9491</w:t>
            </w:r>
          </w:p>
        </w:tc>
        <w:tc>
          <w:tcPr>
            <w:tcW w:type="dxa" w:w="1063"/>
          </w:tcPr>
          <w:p>
            <w:r>
              <w:t>0.5328</w:t>
            </w:r>
          </w:p>
        </w:tc>
      </w:tr>
    </w:tbl>
    <w:p>
      <w:pPr>
        <w:jc w:val="center"/>
      </w:pPr>
      <w:r>
        <w:drawing>
          <wp:inline xmlns:a="http://schemas.openxmlformats.org/drawingml/2006/main" xmlns:pic="http://schemas.openxmlformats.org/drawingml/2006/picture">
            <wp:extent cx="5029200" cy="3017520"/>
            <wp:docPr id="17" name="Picture 17"/>
            <wp:cNvGraphicFramePr>
              <a:graphicFrameLocks noChangeAspect="1"/>
            </wp:cNvGraphicFramePr>
            <a:graphic>
              <a:graphicData uri="http://schemas.openxmlformats.org/drawingml/2006/picture">
                <pic:pic>
                  <pic:nvPicPr>
                    <pic:cNvPr id="0" name="horizon_degradation.png"/>
                    <pic:cNvPicPr/>
                  </pic:nvPicPr>
                  <pic:blipFill>
                    <a:blip r:embed="rId34"/>
                    <a:stretch>
                      <a:fillRect/>
                    </a:stretch>
                  </pic:blipFill>
                  <pic:spPr>
                    <a:xfrm>
                      <a:off x="0" y="0"/>
                      <a:ext cx="5029200" cy="3017520"/>
                    </a:xfrm>
                    <a:prstGeom prst="rect"/>
                  </pic:spPr>
                </pic:pic>
              </a:graphicData>
            </a:graphic>
          </wp:inline>
        </w:drawing>
      </w:r>
    </w:p>
    <w:p>
      <w:r>
        <w:rPr>
          <w:sz w:val="22"/>
        </w:rPr>
        <w:t>Observações principais: (1) ROC-AUC permanece acima de 0.95 em todos os horizontes, demonstrando que o ranking de risco é robusto à janela. (2) A precision sobe com o horizonte (0,69 → 0,78), indicando que alertas com score alto têm probabilidade ainda maior de Don't Go nos próximos 240 minutos. (3) O recall cai (0,65 → 0,38) — janelas longas captam menos positivos, mas com confiabilidade maior.</w:t>
      </w:r>
    </w:p>
    <w:p>
      <w:r>
        <w:rPr>
          <w:sz w:val="22"/>
        </w:rPr>
        <w:t>Aplicação operacional: alertas de alta confiança podem ser estratificados por horizonte. Probabilidade ≥0,99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0.0321 (perfeitamente calibrado = 0). O modelo produz probabilidades regulares — adequadas para ranking de risco, mas não calibradas em termos absolutos devido ao uso de scale_pos_weight=40 para tratar desbalanceamento. A solução aplicada é a calibração isotônica pós-treino, detalhada na subseção seguinte.</w:t>
      </w:r>
    </w:p>
    <w:p>
      <w:pPr>
        <w:jc w:val="center"/>
      </w:pPr>
      <w:r>
        <w:drawing>
          <wp:inline xmlns:a="http://schemas.openxmlformats.org/drawingml/2006/main" xmlns:pic="http://schemas.openxmlformats.org/drawingml/2006/picture">
            <wp:extent cx="5486400" cy="2155371"/>
            <wp:docPr id="16" name="Picture 16"/>
            <wp:cNvGraphicFramePr>
              <a:graphicFrameLocks noChangeAspect="1"/>
            </wp:cNvGraphicFramePr>
            <a:graphic>
              <a:graphicData uri="http://schemas.openxmlformats.org/drawingml/2006/picture">
                <pic:pic>
                  <pic:nvPicPr>
                    <pic:cNvPr id="0" name="calibration_plot.png"/>
                    <pic:cNvPicPr/>
                  </pic:nvPicPr>
                  <pic:blipFill>
                    <a:blip r:embed="rId33"/>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(fixados na validação de Mai/2025): F1-ótimo (~0.99) e custo-ótimo (~0.07).</w:t>
      </w:r>
    </w:p>
    <w:p>
      <w:pPr>
        <w:jc w:val="center"/>
      </w:pPr>
      <w:r>
        <w:drawing>
          <wp:inline xmlns:a="http://schemas.openxmlformats.org/drawingml/2006/main" xmlns:pic="http://schemas.openxmlformats.org/drawingml/2006/picture">
            <wp:extent cx="5029200" cy="3017520"/>
            <wp:docPr id="15" name="Picture 15"/>
            <wp:cNvGraphicFramePr>
              <a:graphicFrameLocks noChangeAspect="1"/>
            </wp:cNvGraphicFramePr>
            <a:graphic>
              <a:graphicData uri="http://schemas.openxmlformats.org/drawingml/2006/picture">
                <pic:pic>
                  <pic:nvPicPr>
                    <pic:cNvPr id="0" name="threshold_curves.png"/>
                    <pic:cNvPicPr/>
                  </pic:nvPicPr>
                  <pic:blipFill>
                    <a:blip r:embed="rId32"/>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0.03210</w:t>
            </w:r>
          </w:p>
        </w:tc>
        <w:tc>
          <w:tcPr>
            <w:tcW w:type="dxa" w:w="2126"/>
          </w:tcPr>
          <w:p>
            <w:r>
              <w:t>0.00208</w:t>
            </w:r>
          </w:p>
        </w:tc>
        <w:tc>
          <w:tcPr>
            <w:tcW w:type="dxa" w:w="2126"/>
          </w:tcPr>
          <w:p>
            <w:r>
              <w:t>+93.5%</w:t>
            </w:r>
          </w:p>
        </w:tc>
      </w:tr>
      <w:tr>
        <w:tc>
          <w:tcPr>
            <w:tcW w:type="dxa" w:w="2126"/>
          </w:tcPr>
          <w:p>
            <w:r>
              <w:t>LogLoss</w:t>
            </w:r>
          </w:p>
        </w:tc>
        <w:tc>
          <w:tcPr>
            <w:tcW w:type="dxa" w:w="2126"/>
          </w:tcPr>
          <w:p>
            <w:r>
              <w:t>0.09869</w:t>
            </w:r>
          </w:p>
        </w:tc>
        <w:tc>
          <w:tcPr>
            <w:tcW w:type="dxa" w:w="2126"/>
          </w:tcPr>
          <w:p>
            <w:r>
              <w:t>0.01123</w:t>
            </w:r>
          </w:p>
        </w:tc>
        <w:tc>
          <w:tcPr>
            <w:tcW w:type="dxa" w:w="2126"/>
          </w:tcPr>
          <w:p>
            <w:r>
              <w:t>—</w:t>
            </w:r>
          </w:p>
        </w:tc>
      </w:tr>
      <w:tr>
        <w:tc>
          <w:tcPr>
            <w:tcW w:type="dxa" w:w="2126"/>
          </w:tcPr>
          <w:p>
            <w:r>
              <w:t>ROC-AUC</w:t>
            </w:r>
          </w:p>
        </w:tc>
        <w:tc>
          <w:tcPr>
            <w:tcW w:type="dxa" w:w="2126"/>
          </w:tcPr>
          <w:p>
            <w:r>
              <w:t>0.9924</w:t>
            </w:r>
          </w:p>
        </w:tc>
        <w:tc>
          <w:tcPr>
            <w:tcW w:type="dxa" w:w="2126"/>
          </w:tcPr>
          <w:p>
            <w:r>
              <w:t>0.9901</w:t>
            </w:r>
          </w:p>
        </w:tc>
        <w:tc>
          <w:tcPr>
            <w:tcW w:type="dxa" w:w="2126"/>
          </w:tcPr>
          <w:p>
            <w:r>
              <w:t>−0,06%</w:t>
            </w:r>
          </w:p>
        </w:tc>
      </w:tr>
      <w:tr>
        <w:tc>
          <w:tcPr>
            <w:tcW w:type="dxa" w:w="2126"/>
          </w:tcPr>
          <w:p>
            <w:r>
              <w:t>PR-AUC</w:t>
            </w:r>
          </w:p>
        </w:tc>
        <w:tc>
          <w:tcPr>
            <w:tcW w:type="dxa" w:w="2126"/>
          </w:tcPr>
          <w:p>
            <w:r>
              <w:t>0.7018</w:t>
            </w:r>
          </w:p>
        </w:tc>
        <w:tc>
          <w:tcPr>
            <w:tcW w:type="dxa" w:w="2126"/>
          </w:tcPr>
          <w:p>
            <w:r>
              <w:t>0.6884</w:t>
            </w:r>
          </w:p>
        </w:tc>
        <w:tc>
          <w:tcPr>
            <w:tcW w:type="dxa" w:w="2126"/>
          </w:tcPr>
          <w:p>
            <w:r>
              <w:t>−2,7%</w:t>
            </w:r>
          </w:p>
        </w:tc>
      </w:tr>
    </w:tbl>
    <w:p>
      <w:r>
        <w:rPr>
          <w:sz w:val="22"/>
        </w:rPr>
        <w:t>O Brier Score caiu 89% sem perda relevante de ROC-AUC. O modelo calibrado passou a ser 2.1×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4" name="Picture 14"/>
            <wp:cNvGraphicFramePr>
              <a:graphicFrameLocks noChangeAspect="1"/>
            </wp:cNvGraphicFramePr>
            <a:graphic>
              <a:graphicData uri="http://schemas.openxmlformats.org/drawingml/2006/picture">
                <pic:pic>
                  <pic:nvPicPr>
                    <pic:cNvPr id="0" name="isotonic_calibration.png"/>
                    <pic:cNvPicPr/>
                  </pic:nvPicPr>
                  <pic:blipFill>
                    <a:blip r:embed="rId31"/>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3" name="Picture 13"/>
            <wp:cNvGraphicFramePr>
              <a:graphicFrameLocks noChangeAspect="1"/>
            </wp:cNvGraphicFramePr>
            <a:graphic>
              <a:graphicData uri="http://schemas.openxmlformats.org/drawingml/2006/picture">
                <pic:pic>
                  <pic:nvPicPr>
                    <pic:cNvPr id="0" name="isotonic_mapping.png"/>
                    <pic:cNvPicPr/>
                  </pic:nvPicPr>
                  <pic:blipFill>
                    <a:blip r:embed="rId30"/>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2" name="Picture 12"/>
            <wp:cNvGraphicFramePr>
              <a:graphicFrameLocks noChangeAspect="1"/>
            </wp:cNvGraphicFramePr>
            <a:graphic>
              <a:graphicData uri="http://schemas.openxmlformats.org/drawingml/2006/picture">
                <pic:pic>
                  <pic:nvPicPr>
                    <pic:cNvPr id="0" name="drift_detection_by_fleet.png"/>
                    <pic:cNvPicPr/>
                  </pic:nvPicPr>
                  <pic:blipFill>
                    <a:blip r:embed="rId29"/>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1" name="Picture 11"/>
            <wp:cNvGraphicFramePr>
              <a:graphicFrameLocks noChangeAspect="1"/>
            </wp:cNvGraphicFramePr>
            <a:graphic>
              <a:graphicData uri="http://schemas.openxmlformats.org/drawingml/2006/picture">
                <pic:pic>
                  <pic:nvPicPr>
                    <pic:cNvPr id="0" name="drift_ks_heatmap.png"/>
                    <pic:cNvPicPr/>
                  </pic:nvPicPr>
                  <pic:blipFill>
                    <a:blip r:embed="rId28"/>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0.90</w:t>
            </w:r>
          </w:p>
        </w:tc>
        <w:tc>
          <w:tcPr>
            <w:tcW w:type="dxa" w:w="1063"/>
          </w:tcPr>
          <w:p>
            <w:r>
              <w:t>467</w:t>
            </w:r>
          </w:p>
        </w:tc>
        <w:tc>
          <w:tcPr>
            <w:tcW w:type="dxa" w:w="1063"/>
          </w:tcPr>
          <w:p>
            <w:r>
              <w:t>15.338</w:t>
            </w:r>
          </w:p>
        </w:tc>
        <w:tc>
          <w:tcPr>
            <w:tcW w:type="dxa" w:w="1063"/>
          </w:tcPr>
          <w:p>
            <w:r>
              <w:t>381</w:t>
            </w:r>
          </w:p>
        </w:tc>
        <w:tc>
          <w:tcPr>
            <w:tcW w:type="dxa" w:w="1063"/>
          </w:tcPr>
          <w:p>
            <w:r>
              <w:t>0,056</w:t>
            </w:r>
          </w:p>
        </w:tc>
        <w:tc>
          <w:tcPr>
            <w:tcW w:type="dxa" w:w="1063"/>
          </w:tcPr>
          <w:p>
            <w:r>
              <w:t>0,55</w:t>
            </w:r>
          </w:p>
        </w:tc>
        <w:tc>
          <w:tcPr>
            <w:tcW w:type="dxa" w:w="1063"/>
          </w:tcPr>
          <w:p>
            <w:r>
              <w:t>31,3</w:t>
            </w:r>
          </w:p>
        </w:tc>
      </w:tr>
      <w:tr>
        <w:tc>
          <w:tcPr>
            <w:tcW w:type="dxa" w:w="1063"/>
          </w:tcPr>
          <w:p>
            <w:r>
              <w:t>793-D 3S</w:t>
            </w:r>
          </w:p>
        </w:tc>
        <w:tc>
          <w:tcPr>
            <w:tcW w:type="dxa" w:w="1063"/>
          </w:tcPr>
          <w:p>
            <w:r>
              <w:t>0.75</w:t>
            </w:r>
          </w:p>
        </w:tc>
        <w:tc>
          <w:tcPr>
            <w:tcW w:type="dxa" w:w="1063"/>
          </w:tcPr>
          <w:p>
            <w:r>
              <w:t>1.658</w:t>
            </w:r>
          </w:p>
        </w:tc>
        <w:tc>
          <w:tcPr>
            <w:tcW w:type="dxa" w:w="1063"/>
          </w:tcPr>
          <w:p>
            <w:r>
              <w:t>11.852</w:t>
            </w:r>
          </w:p>
        </w:tc>
        <w:tc>
          <w:tcPr>
            <w:tcW w:type="dxa" w:w="1063"/>
          </w:tcPr>
          <w:p>
            <w:r>
              <w:t>521</w:t>
            </w:r>
          </w:p>
        </w:tc>
        <w:tc>
          <w:tcPr>
            <w:tcW w:type="dxa" w:w="1063"/>
          </w:tcPr>
          <w:p>
            <w:r>
              <w:t>0,211</w:t>
            </w:r>
          </w:p>
        </w:tc>
        <w:tc>
          <w:tcPr>
            <w:tcW w:type="dxa" w:w="1063"/>
          </w:tcPr>
          <w:p>
            <w:r>
              <w:t>0,76</w:t>
            </w:r>
          </w:p>
        </w:tc>
        <w:tc>
          <w:tcPr>
            <w:tcW w:type="dxa" w:w="1063"/>
          </w:tcPr>
          <w:p>
            <w:r>
              <w:t>35,5</w:t>
            </w:r>
          </w:p>
        </w:tc>
      </w:tr>
      <w:tr>
        <w:tc>
          <w:tcPr>
            <w:tcW w:type="dxa" w:w="1063"/>
          </w:tcPr>
          <w:p>
            <w:r>
              <w:t>793-D 4S</w:t>
            </w:r>
          </w:p>
        </w:tc>
        <w:tc>
          <w:tcPr>
            <w:tcW w:type="dxa" w:w="1063"/>
          </w:tcPr>
          <w:p>
            <w:r>
              <w:t>0.84</w:t>
            </w:r>
          </w:p>
        </w:tc>
        <w:tc>
          <w:tcPr>
            <w:tcW w:type="dxa" w:w="1063"/>
          </w:tcPr>
          <w:p>
            <w:r>
              <w:t>13.858</w:t>
            </w:r>
          </w:p>
        </w:tc>
        <w:tc>
          <w:tcPr>
            <w:tcW w:type="dxa" w:w="1063"/>
          </w:tcPr>
          <w:p>
            <w:r>
              <w:t>35.261</w:t>
            </w:r>
          </w:p>
        </w:tc>
        <w:tc>
          <w:tcPr>
            <w:tcW w:type="dxa" w:w="1063"/>
          </w:tcPr>
          <w:p>
            <w:r>
              <w:t>1.081</w:t>
            </w:r>
          </w:p>
        </w:tc>
        <w:tc>
          <w:tcPr>
            <w:tcW w:type="dxa" w:w="1063"/>
          </w:tcPr>
          <w:p>
            <w:r>
              <w:t>0,433</w:t>
            </w:r>
          </w:p>
        </w:tc>
        <w:tc>
          <w:tcPr>
            <w:tcW w:type="dxa" w:w="1063"/>
          </w:tcPr>
          <w:p>
            <w:r>
              <w:t>0,93</w:t>
            </w:r>
          </w:p>
        </w:tc>
        <w:tc>
          <w:tcPr>
            <w:tcW w:type="dxa" w:w="1063"/>
          </w:tcPr>
          <w:p>
            <w:r>
              <w:t>82,3</w:t>
            </w:r>
          </w:p>
        </w:tc>
      </w:tr>
      <w:tr>
        <w:tc>
          <w:tcPr>
            <w:tcW w:type="dxa" w:w="1063"/>
          </w:tcPr>
          <w:p>
            <w:r>
              <w:t>793-D 5S</w:t>
            </w:r>
          </w:p>
        </w:tc>
        <w:tc>
          <w:tcPr>
            <w:tcW w:type="dxa" w:w="1063"/>
          </w:tcPr>
          <w:p>
            <w:r>
              <w:t>0.69</w:t>
            </w:r>
          </w:p>
        </w:tc>
        <w:tc>
          <w:tcPr>
            <w:tcW w:type="dxa" w:w="1063"/>
          </w:tcPr>
          <w:p>
            <w:r>
              <w:t>15.714</w:t>
            </w:r>
          </w:p>
        </w:tc>
        <w:tc>
          <w:tcPr>
            <w:tcW w:type="dxa" w:w="1063"/>
          </w:tcPr>
          <w:p>
            <w:r>
              <w:t>172.181</w:t>
            </w:r>
          </w:p>
        </w:tc>
        <w:tc>
          <w:tcPr>
            <w:tcW w:type="dxa" w:w="1063"/>
          </w:tcPr>
          <w:p>
            <w:r>
              <w:t>1.361</w:t>
            </w:r>
          </w:p>
        </w:tc>
        <w:tc>
          <w:tcPr>
            <w:tcW w:type="dxa" w:w="1063"/>
          </w:tcPr>
          <w:p>
            <w:r>
              <w:t>0,153</w:t>
            </w:r>
          </w:p>
        </w:tc>
        <w:tc>
          <w:tcPr>
            <w:tcW w:type="dxa" w:w="1063"/>
          </w:tcPr>
          <w:p>
            <w:r>
              <w:t>0,92</w:t>
            </w:r>
          </w:p>
        </w:tc>
        <w:tc>
          <w:tcPr>
            <w:tcW w:type="dxa" w:w="1063"/>
          </w:tcPr>
          <w:p>
            <w:r>
              <w:t>205,8</w:t>
            </w:r>
          </w:p>
        </w:tc>
      </w:tr>
      <w:tr>
        <w:tc>
          <w:tcPr>
            <w:tcW w:type="dxa" w:w="1063"/>
          </w:tcPr>
          <w:p>
            <w:r>
              <w:t>LeTourneau L 1850</w:t>
            </w:r>
          </w:p>
        </w:tc>
        <w:tc>
          <w:tcPr>
            <w:tcW w:type="dxa" w:w="1063"/>
          </w:tcPr>
          <w:p>
            <w:r>
              <w:t>0.16</w:t>
            </w:r>
          </w:p>
        </w:tc>
        <w:tc>
          <w:tcPr>
            <w:tcW w:type="dxa" w:w="1063"/>
          </w:tcPr>
          <w:p>
            <w:r>
              <w:t>22</w:t>
            </w:r>
          </w:p>
        </w:tc>
        <w:tc>
          <w:tcPr>
            <w:tcW w:type="dxa" w:w="1063"/>
          </w:tcPr>
          <w:p>
            <w:r>
              <w:t>4.184</w:t>
            </w:r>
          </w:p>
        </w:tc>
        <w:tc>
          <w:tcPr>
            <w:tcW w:type="dxa" w:w="1063"/>
          </w:tcPr>
          <w:p>
            <w:r>
              <w:t>140</w:t>
            </w:r>
          </w:p>
        </w:tc>
        <w:tc>
          <w:tcPr>
            <w:tcW w:type="dxa" w:w="1063"/>
          </w:tcPr>
          <w:p>
            <w:r>
              <w:t>0,010</w:t>
            </w:r>
          </w:p>
        </w:tc>
        <w:tc>
          <w:tcPr>
            <w:tcW w:type="dxa" w:w="1063"/>
          </w:tcPr>
          <w:p>
            <w:r>
              <w:t>0,14</w:t>
            </w:r>
          </w:p>
        </w:tc>
        <w:tc>
          <w:tcPr>
            <w:tcW w:type="dxa" w:w="1063"/>
          </w:tcPr>
          <w:p>
            <w:r>
              <w:t>10,3</w:t>
            </w:r>
          </w:p>
        </w:tc>
      </w:tr>
    </w:tbl>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leet_threshold_policy.png"/>
                    <pic:cNvPicPr/>
                  </pic:nvPicPr>
                  <pic:blipFill>
                    <a:blip r:embed="rId27"/>
                    <a:stretch>
                      <a:fillRect/>
                    </a:stretch>
                  </pic:blipFill>
                  <pic:spPr>
                    <a:xfrm>
                      <a:off x="0" y="0"/>
                      <a:ext cx="5486400" cy="3291840"/>
                    </a:xfrm>
                    <a:prstGeom prst="rect"/>
                  </pic:spPr>
                </pic:pic>
              </a:graphicData>
            </a:graphic>
          </wp:inline>
        </w:drawing>
      </w:r>
    </w:p>
    <w:p>
      <w:r>
        <w:rPr>
          <w:sz w:val="22"/>
        </w:rPr>
        <w:t>A política por frota reduz o custo operacional total de R$373,1M (threshold único) para R$365,3M — economia adicional de R$7,8M (+2,1%) sobre o ganho já demonstrado no Sprint 2. Mais relevante que o ganho de custo: o F1 agregado sobe de 0,159 para 0,207 (+31%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9" name="Picture 9"/>
            <wp:cNvGraphicFramePr>
              <a:graphicFrameLocks noChangeAspect="1"/>
            </wp:cNvGraphicFramePr>
            <a:graphic>
              <a:graphicData uri="http://schemas.openxmlformats.org/drawingml/2006/picture">
                <pic:pic>
                  <pic:nvPicPr>
                    <pic:cNvPr id="0" name="fleet_threshold_cost_comparison.png"/>
                    <pic:cNvPicPr/>
                  </pic:nvPicPr>
                  <pic:blipFill>
                    <a:blip r:embed="rId26"/>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ca65926_vs_frota.png"/>
                    <pic:cNvPicPr/>
                  </pic:nvPicPr>
                  <pic:blipFill>
                    <a:blip r:embed="rId25"/>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7" name="Picture 7"/>
            <wp:cNvGraphicFramePr>
              <a:graphicFrameLocks noChangeAspect="1"/>
            </wp:cNvGraphicFramePr>
            <a:graphic>
              <a:graphicData uri="http://schemas.openxmlformats.org/drawingml/2006/picture">
                <pic:pic>
                  <pic:nvPicPr>
                    <pic:cNvPr id="0" name="ca65926_monthly_escalation.png"/>
                    <pic:cNvPicPr/>
                  </pic:nvPicPr>
                  <pic:blipFill>
                    <a:blip r:embed="rId24"/>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6" name="Picture 6"/>
            <wp:cNvGraphicFramePr>
              <a:graphicFrameLocks noChangeAspect="1"/>
            </wp:cNvGraphicFramePr>
            <a:graphic>
              <a:graphicData uri="http://schemas.openxmlformats.org/drawingml/2006/picture">
                <pic:pic>
                  <pic:nvPicPr>
                    <pic:cNvPr id="0" name="ca65926_daily_timeline.png"/>
                    <pic:cNvPicPr/>
                  </pic:nvPicPr>
                  <pic:blipFill>
                    <a:blip r:embed="rId23"/>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22"/>
                    <a:stretch>
                      <a:fillRect/>
                    </a:stretch>
                  </pic:blipFill>
                  <pic:spPr>
                    <a:xfrm>
                      <a:off x="0" y="0"/>
                      <a:ext cx="4572000" cy="3918857"/>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pStyle w:val="Ttulo3"/>
      </w:pPr>
      <w:r>
        <w:rPr>
          <w:color w:val="00A650"/>
        </w:rPr>
        <w:t>Decomposição de uma Predição Individual (CM 5.3)</w:t>
      </w:r>
    </w:p>
    <w:p>
      <w:r>
        <w:rPr>
          <w:sz w:val="22"/>
        </w:rPr>
        <w:t>Complementando a importância global, o waterfall SHAP abaixo decompõe uma predição específica: o verdadeiro positivo de maior convicção do conjunto de teste — equipamento CA65915, 2025/06/04 14:07, probabilidade prevista de 0,9989 (threshold 0,9914), com o Don't Go confirmado nos 60 minutos seguintes. A leitura é direta: partindo do valor-base do modelo, cada barra mostra quanto cada feature empurrou a predição para cima (vermelho) ou para baixo (azul). Neste caso, o histórico recente de Don't Go domina a decisão — 9 eventos na janela de 4h (n_dg_240m) — reforçado pela densidade nas janelas curtas (n_dg_60m, n_dg_30m) e pelo estado do fingerprint de alarmes: um padrão operacional de reincidência que o modelo traduz corretamente em risco extremo. Reproduzível via src/shap_example_waterfall.py.</w:t>
      </w:r>
    </w:p>
    <w:p>
      <w:pPr>
        <w:jc w:val="center"/>
      </w:pPr>
      <w:r>
        <w:drawing>
          <wp:inline xmlns:a="http://schemas.openxmlformats.org/drawingml/2006/main" xmlns:pic="http://schemas.openxmlformats.org/drawingml/2006/picture">
            <wp:extent cx="5486400" cy="3569219"/>
            <wp:docPr id="4" name="Picture 4"/>
            <wp:cNvGraphicFramePr>
              <a:graphicFrameLocks noChangeAspect="1"/>
            </wp:cNvGraphicFramePr>
            <a:graphic>
              <a:graphicData uri="http://schemas.openxmlformats.org/drawingml/2006/picture">
                <pic:pic>
                  <pic:nvPicPr>
                    <pic:cNvPr id="0" name="shap_waterfall.png"/>
                    <pic:cNvPicPr/>
                  </pic:nvPicPr>
                  <pic:blipFill>
                    <a:blip r:embed="rId21"/>
                    <a:stretch>
                      <a:fillRect/>
                    </a:stretch>
                  </pic:blipFill>
                  <pic:spPr>
                    <a:xfrm>
                      <a:off x="0" y="0"/>
                      <a:ext cx="5486400" cy="3569219"/>
                    </a:xfrm>
                    <a:prstGeom prst="rect"/>
                  </pic:spPr>
                </pic:pic>
              </a:graphicData>
            </a:graphic>
          </wp:inline>
        </w:drawing>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0,94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+341% sobre a heurística operacional tradicional, justificando empiricamente o investimento em modelagem preditiva. A análise de custo (FN=R$50K, FP=R$800), medida por episódio de Don't Go (1 episódio = 1 parada física), revela que o threshold custo-ótimo economiza ~R$26 milhões no mês de teste em relação ao threshold otimizado por F1, capturando ~99,9% das paradas reais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Recalibração isotônica periódica — a calibração isotônica já implementada (Sprint 6, Brier −89%) é estática, ajustada uma única vez na validação de Mai/2025. Sob drift de distribuição (documentado no Sprint 8), o mapeamento de probabilidades degrada com o tempo. Propõe-se recalibrar o isotônico a cada ciclo mensal, ou automaticamente quando o detector KS disparar, mantendo probabilidades absolutas confiáveis para precificação de manutenção sem retreinar o modelo.</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